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w:t>
      </w:r>
    </w:p>
    <w:p>
      <w:r>
        <w:rPr>
          <w:b/>
        </w:rPr>
        <w:t xml:space="preserve">Datum: </w:t>
      </w:r>
      <w:r>
        <w:t>1909-05-16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Hugo Hammarskjöld (Första kammarens moderata parti, man)</w:t>
      </w:r>
    </w:p>
    <w:p>
      <w:r>
        <w:rPr>
          <w:b w:val="0"/>
        </w:rPr>
        <w:t>Då 1904 års läroverksreform genomfördes, gjordes åtskilliga ändringar i afseende å en del mindre läroverk. Åtskilliga tvåoch treklassiga läroverk och pedagogier indrogos. Hvad beträffar rektorerna vid dessa, af hvilka somliga icke själfva voro villiga att öfvergå på den nya lönestaten och vara rektorer vid de ombildade läroverken och andra ansågos icke fullt lämpliga därtill, beslöt Riksdagen, att de skulle försättas på indragningsstat med bibehållande af hela sin lön oafkortad såsom pension. Arboga femklassiga läroverk skulle ombildas till sexklassig samskola och hade till rektor en gammal förtjänt skolman, rektor Persson, som hade tjänstgjort i denna egenskap 25 år. Han ansågs ock fortfarande vara duglig till rektor och tillfrågades därför, om han ville öfvergå på ny stat såsom rektor vid det ombildade läroverket. Därtill ansåg han sig så godt som skyldig och förklarade, att han vore villig ingå på ny stat. Han tänkte sig då icke möjligheten, att Riksdagen skulle efteråt antaga en pensionslag, som skulle ställa honom i en synnerligen ogynnsam ställning. Han hade varit fullt berättigad att blifva ställd på indragningsstat med bibehållande af sina löneförmåner, sin rektorslön på 4,000 kronor, hvari ingick ett ålderstillägg på 500 kronor. Genom att han öfvergick på ny stat och kvarstod såsom rektor samt således tjänade staten längre, än han behöfde, har han kommit i den ställningen, att han, som icke har mer än 31 tjänstår i statens tjänst, icke kan få mera än afkortad pension till belopp af 3,280 kronor.</w:t>
        <w:br/>
        <w:br/>
        <w:t>Nu har han begärt, att Kungl. Maj:t skall försöka af Riksdagen utverka, att han får åtminstone 3,700 kronor i pension. Detta</w:t>
        <w:br/>
        <w:br/>
        <w:t xml:space="preserve">synes mig vara en mycket billig begäran. Jag erinrar därom, att det i fjol” var ett någorlunda analogt fall med lektor Johansson i Göteborg, som icke hade mer än 26 tjänstår i statens tjänst, men som varit, om jag minnes rätt, under 16 år föreståndare för en högre </w:t>
      </w:r>
      <w:r>
        <w:rPr>
          <w:b/>
        </w:rPr>
        <w:t>flickskola²</w:t>
      </w:r>
      <w:r>
        <w:rPr>
          <w:b w:val="0"/>
        </w:rPr>
        <w:t>. Då beviljade bägge kamrarna vid gemensam votering den pension, som Kungl. Maj:t begärde. Det fallet förklarades då af läroverksöfverstyrelsen vara ett undantagsfall, som icke mera kunde komma i fråga. Jag vill icke åberopa det fallet såsom fullt analogt med detta. Ty det är det icke. Men det visade dock, att Riksdagen uppskattar värdet af att en skolman ägnar en stor del af sin tid på ett synnerligen förtjänstfullt sätt åt de enskilda skolorna och att Riksdagen icke vill, alt han skall lida därför, när han kommer till pensionsåldern. Här är förhållandet, såsom jag nämnde, litet annorlunda. Men jag anser, att rektor Persson gjorde staten en tjänst genom att stå kvar och icke begära att ställas på indragningsstat. Belöningen för detta tillmötesgående blir nu, om propositionen afslås, att han får en betydligt afkortad pension. Skillnaden mellan den pension, som han skulle få enligt utskottets förslag, och den, som han begär, och som är mindre än den, han skulle ha fått, om han genast afgått och låtit ställa sig på indragningsstat, den skillnaden är 400 kronor.</w:t>
        <w:br/>
        <w:br/>
        <w:t>Och jag vågar hemställa till kammaren, om den icke under sådana förhållanden skulle vilja finna det vara skäl att bifalla Kungl. Maj:ts proposition i denna del. Jag tror icke, att man behöfver befara några farliga konsekvenser af ett sådant beslut.</w:t>
      </w:r>
    </w:p>
    <w:p>
      <w:pPr>
        <w:pStyle w:val="Heading2"/>
      </w:pPr>
      <w:r>
        <w:t>2. Carl Taube (–, man)</w:t>
      </w:r>
    </w:p>
    <w:p>
      <w:r>
        <w:rPr>
          <w:b w:val="0"/>
        </w:rPr>
        <w:t>Vid denna frågas behandling inom utskottet uppnåddes en mycket vacker enighet. Det var endast en reservant, en ämbetsbroder, som ansåg, att rektor Persson borde ha den ökade pensionen. I öfrigt rådde full enighet såväl på afdelningen som inom utskottet. Vid förra årets riksdag behandlades ett liknande fall. Det var, som jag tillät mig kalla det, »fallet Johansson». Det yttrades då, att det skulle vara ett undantagsfall, men jag tillät mig säga, att fallet Johansson kommer nog tillbaka. Och nu är det här igen, och det kommer nog flera gånger, om det icke på ett eller annat sätt slopas.</w:t>
        <w:br/>
        <w:br/>
        <w:t>Nu sade herr statsrådet, att Persson hade icke förstått hvad han gjorde, när han gick in på den nya staten. Huru därmed förhåller sig, vet jag icke, men att en så lärd man, som han är, efter läsning af handlingarna icke hade klart för sig hvad följden skulle bli af det steg han tog, det vågar jag för min del hysa tvifvel om.</w:t>
        <w:br/>
        <w:br/>
        <w:t>Vid behandlingen af detta ärende vid föregående riksdag tillät jag mig att yttra: »skola vi icke tillämpa den pensionslag, vi fått så nyligen, kunna vi gärna stryka ut den med ens». Och detta upprepar jag i dag.</w:t>
        <w:br/>
        <w:br/>
        <w:t>Eftersom herr statsrådet åberopade, att kamrarna i fjol biföllo Kungl. Maj:ts proposition om högre pension åt rektor Johansson, vill jag erinra om hvad herr statsrådet nämnde, då han hemställde om bifall till framställningen i fallet Johansson. Han nämnde, att</w:t>
        <w:br/>
        <w:br/>
        <w:t xml:space="preserve">rektor Johansson hade haft en son vid namn Tiselius, vill jag minnas, som varit en framstående vetenskapsman, men som helt hastigt hade aflidit, efterlämnande </w:t>
      </w:r>
      <w:r>
        <w:rPr>
          <w:b/>
        </w:rPr>
        <w:t>änka²</w:t>
      </w:r>
      <w:r>
        <w:rPr>
          <w:b w:val="0"/>
        </w:rPr>
        <w:t xml:space="preserve"> och barn, och att försörjningen af hela denna familj blifvit lagd på rektor Johanssons axlar. Detta var en ganska ömmande omständighet, som kom till. Jag tror för min del, att dessa billighetsskäl, att han befann sig i så ömmande omständigheter, gjorde, att resultatet vid den gemensamma voteringen blef, som det blef. TI föreliggande fall är, efter hvad jag hört berättas, fråga endast om två personer, och några dylika ömmande omständigheter föreligga således icke här. Och, mina herrar, om vi nu bifalla denna framställning, kunna vi vara alldeles lugna för, att fallet Johansson kommer tillbaka gång på gång, ty det finnes nog flere, som man kan leta upp. Det heter, att detta fall icke är alldeles precis lika det förra fallet. Nej, det är visserligen sant. Men det är så pass lika, att statskontoret, efter att två gånger hafva afstyrkt, tredje gången tillstyrkt på grund af fallet Johansson. Under sådana förhållanden vill jag hemställa, huruvida kammaren icke vill biträda utskottets förslag, hvartill jag yrkar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