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w:t>
      </w:r>
    </w:p>
    <w:p>
      <w:r>
        <w:rPr>
          <w:b/>
        </w:rPr>
        <w:t xml:space="preserve">Datum: </w:t>
      </w:r>
      <w:r>
        <w:t>1910-03-03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Ludvig Danström (Första kammarens nationella parti, man)</w:t>
      </w:r>
    </w:p>
    <w:p>
      <w:r>
        <w:rPr>
          <w:b w:val="0"/>
        </w:rPr>
        <w:t>Herr vice talman, mine herrar! Må det tillåtas mig att angifva några af de synpunkter, som för mig varit bestämmande att biträda det förslag, som af utskottet framlagts.</w:t>
        <w:br/>
        <w:br/>
        <w:t>En utredning, sådan den af utskottet föreslagits och som äfven i något mera begränsad form af förbudsifrarne begärts, är så mycket mera af behofvet påkallad, som man numera tycks vilja göra gällande en förbudslagstiftnings nödvändighet, utan att i förväg ens veta, om den är möjlig och om ett totalförbud kan upprätthållas här 1 landet med dess långsträckta kuster och gränser, innan ett sådant förbud införts i våra grannländer. För mig kan ett totalförbuds nödvändighet icke blifva en trossats, oberoende af vetandet. Men det är möjligt, att jag genom en tillfredsställande och beviskraftig utredning kan blifva öfvertygad om ett förbuds önskvärdhet och behöflighet.</w:t>
        <w:br/>
        <w:br/>
        <w:t>Man må emellertid principiellt hysa mycket befogade tvifvelsmål om att en förbudslagstiftning är rätta vägen att fostra ett folk till sedlig kraft, och man må hysa grundade farhågor, att en sådan lags verkan skulle blifva i hög grad illusorisk, så måste man dock göra sig förtrogen med den tanken, att i en framtid förr eller senare ett rusdrycksförbud kan komma att af statsmakterna beslutas. Nykterhetsrörelsens främste ledare ha ju tänkt sig, att en dylik förbudslag skulle i hela sin utsträckning komma att tillämpas om tjugu år. Men de finnas nog, som icke</w:t>
        <w:br/>
        <w:br/>
        <w:t>Därför böra alla rättsinnade medborgare redan nu vara ense alkoholmissdärom, att, innan ett eventuellt beslut om allmänt rusdrycksför- — bruket. bud af Riksdagen kan fattas, vägen dit må vara så klargjord (Forts.) och så säkra grunder för förbudets effektivitet funna, att detta icke har med sig blott statens, kommunernas, landstingens och hushållningssällskapens förlust eller, som det i en vacker omskrifning heter, frigörande från beroende af brännvinsmedlen — den förlusten torde möjligen kunna ersättas genom en förväntad större välmåga och skatteförmåga bland folket såsom en frukt af allmän nykterhet — utan att sådan allmän nykterhet också verkligen genom ett rusdrycksförbud ernås. Det blefve nämligen högst betänkligt, om utlandet och enskilda om förvärfsmedlen mindre nogräknade personer komme att i afsevärd grad profitera på ett svenskt rusdrycksförbud genom kringgående af en förbudslag, som icke ägde till underlag en tillräckligt allmän och stark rättsuppfattning bland folkets skilda lager.</w:t>
        <w:br/>
        <w:br/>
        <w:t>För att ernå nödiga garantier häremot fordras för visso ett godt och förstående samarbete mellan entusiasterna för nykterhetssaken, hvilka redan se vägen banad till det ljusa mål, allmän återhållsamhet från rusdrycker af alla slag, som de tro skola bli så lyckobringande för det svenska folket, och de mera betänksamma, som tro, att stora hinder och svårigheter möta på vägen dit, och att totalförbudet, en gång ernådt, kanske ej motsvarar de förväntningar mången gjort sig. Att döma at herr Eklunds yttrande i dag, synes han ännu icke kommit till insikt om behofvet af 'sådant samförstånd.</w:t>
        <w:br/>
        <w:br/>
        <w:t>Problemet är onekligen lika svårlöst som allvarligt betydelsefullt. Att framställa de inför detsamma tveksamma och betänksamma såsom likgiltiga för eller fiender mot nykterhetssaken är därför högeligen orättvist. Och icke borde det heller rimligen lämpa sig att använda denna skiljaktighet i uppfattning i partipolitiskt syfte.</w:t>
        <w:br/>
        <w:br/>
        <w:t>Man synes nu på vissa håll ha kommit till den åsikten, att alla påståenden och argument, som från förbudsifrarnas sida framföras, skola betraktas som axiom, mot hvilka det rent af är ett brott mot själfva nykterhetssträfvandet att göra någon invändning. Men en sådan ståndpunkt är farlig, ty den syftar till att på förhand afväpna och omöjliggöra en kritik, som är välbehöflig för hvarje sundt reformsträfvande.</w:t>
        <w:br/>
        <w:br/>
        <w:t>En förutsättningsfri, objektiv och opartisk utredning, som utskottet föreslår kammaren att begära, är nödvändig icke minst ur den synpunkten, att, innan ett allmänt rusdrycksförbud tillgripes, det må blifva för alla och enhvar ådagalagdt, att detta är enda pålitliga värnet mot rusdrycksmissbruket, hvars inom folkets alla lager fördärfbringande inverkan på samhället, individen,</w:t>
        <w:br/>
        <w:br/>
        <w:t>Det gifves många, som ingalunda kunna beskyllas för dryckenskap,som icke i någon mån göra sig skyldiga till rusdrycksmissbruk, men säkert skulle betrakta ett förbud att få t. ex. ett glas öl till maten såsom ett förhatligt ingrepp i sin frihet, i sin personliga bestämmanderätt. Sådana finnas nog i icke ringa antal äfven bland dem, som tecknat sina namn på de s. k. förbudslistornas ja-sida, därför att det sagts dem, att totalförbud icke komme i deras tid. Gammal sed och allmänt utbredd uppfattning låta icke med ens omskapa sig genom en lagstiftningsåtgärd. De reagera i stället kraftigt däremot. Det gäller därför såsom en nödvändighet att kunna få dessa måttlighetsmän till insikt om, att en förbudslagstiftning måhända är nödvändig, så att för de svagas och för samhällets skull de icke blott villigt underordna sig densamma, utan äfven direkt medverka till lagens upprätthållande. Men härför erfordras en samvetsgrann, objektiv utredning, som kan fullt öfvertyga. För obestyrkta kraf böja de sig icke. Utan en sådan lojal medverkan af dessa mångas flertal kan totalförbudet enligt mitt förmenande icke lyckas, icke ernå det afsedda ändamålet, man må lagstifta än så drakoniskt. Erfarenheten lämnar i detta hänseendet redan tillräckliga vittnesbörd.</w:t>
        <w:br/>
        <w:br/>
        <w:t>Medan man sysslar med ingående utredning för att finna en utväg att slutligen med en enda kraftåtgärd söka göra slut på allt både missbruk och bruk af alkohol til förtäring utom i form af medicin, är det tydligt, såsom utskottet också framhållit, att man under tiden bör till pröfning upptaga partiella reformförslag, som äfven framgent icke torde uteblifva. Man kan ock genom praktisk tillämpning af det ena eller andra vinna erfarenhet om deras verkan.</w:t>
        <w:br/>
        <w:br/>
        <w:t xml:space="preserve">Det är en annan sak, som jag i detta sammanhang, med herr talmannens benägna tillåtelse, skulle vilja påpeka, ehuru den icke direkt hör till det brännande förbudsspörsmålet för dagen. Det är, att man ej får föreställa sig, att alkoholmissbruket är den enda samhällsfaran, enda roten och upphofvet till allt ondt, det enda farliga missbruket af så kallade njutningsmedel, som hotar det svenska folkets hälsa och ekonomiska välfärd. Kaffemissbruket t. ex. är ett ondt, som till sina hälsovådliga verkningar icke kommer så långt efter rusdrycksmissbruket. Ett stort antal läkare hafva gång efter annan framhållit, att detta missbruk, då kaffet användes såsom ett värdelöst surrogat för lagad mat, är i hög grad skadligt i synnerhet för </w:t>
      </w:r>
      <w:r>
        <w:rPr>
          <w:b/>
        </w:rPr>
        <w:t>kvinnorna¹</w:t>
      </w:r>
      <w:r>
        <w:rPr>
          <w:b w:val="0"/>
        </w:rPr>
        <w:t>. Det vållar undernäring och tärande sjukdomar af flera slag. Det är också konstateradt, att detta missbruk förekommer i stor utsträckning, särskildt bland arbetarebefolkningen både å lands-</w:t>
      </w:r>
    </w:p>
    <w:p>
      <w:pPr>
        <w:pStyle w:val="Heading2"/>
      </w:pPr>
      <w:r>
        <w:t>2. Sigfrid Wieselgren (–, man)</w:t>
      </w:r>
    </w:p>
    <w:p>
      <w:r>
        <w:rPr>
          <w:b w:val="0"/>
        </w:rPr>
        <w:t>Det är nog icke endast den förste talaren, som fattat misstro till utskottets förslag på den grund, att klämmen icke skulle vara nog tydlig i det syfte, som man känt såsom det önskvärdaste. Den meningen är rätt allmän</w:t>
        <w:br/>
        <w:br/>
        <w:t>lat, hvad man ytterst åsyftar med skrifvelsen. På den grund, att den icke var nog tydligt formulerad, ville den förste ärade talaren icke yrka bifall till skrifvelsen. Såsom skäl för denna sin mening åberopade han ock förhållandena år 1877, då Riksdagen förra gången riktade en skrifvelse till Kungl. Maj:t i syfte att motverka rusdrycksmissbruket. Men, mina herrar, i den riksdagsskrifvelsen var syftet så tydligt uttaladt, som man når gonsin gärna kan begära. Och dock — hur gick det? Kommittén vårdade sig icke ett spår om det fastställda syftet, utan kom fram med förslag, som den ärade talaren mycket riktigt karakteriserade såsom just motsatsen mot hvad som åsyftats. Men däraf drager jag den slutsatsen, att han icke hade bort tveka att yrka bifall till denna skrifvelse, ty af det anförda exemplet såg han ju, hur ofantligt litet det betyder hur man affattar en skrifvelse. Om därpå skulle läggas hufvudvikten, skulle ju vi, som år 1877 beslutade den då affärdade, varit säkra på att få kommittéförslaget så som vi velat. Men det var just detta vi icke fingo! Således tror jag icke, att det skälet för att icke yrka bifall till nu ifrågavarande skrifvelse verkligen kan hålla streck.</w:t>
        <w:br/>
        <w:br/>
        <w:t>Däremot ber jag att få betona, att om nu denna skrifvelse icke skulle åstadkomma ett lagförslag i den riktning, som vi vid dess affärdande anse önskvärdt, så torde svenska folket hafva precis samma väg sig öppen lämnad nu som år 1878 och närmast följande år, då man fann, att kommittéförslaget icke alls hade brytt sig om att följa den anvisade riktningen, nämligen rusdrycksmissbrukets kraftigare motarbetande. För min del är jag öfvertygad om, att i händelse någonting så oförmodadt skulle inträffa, som att en kommitté af år 1910 skulle följa 1877 års kommitté i spåren, så komme hela svenska folket — vi må tänka hvad som helst i själfva saken — att uppresa sig mot ett sådant tillvägagående. Men, mina herrar, det var mer än en nykterhetsfråga, som förelåg i 1877 års skrifvelsebeslut, och vi visste mycket väl, när vi då i Riksdagen röstade för det skrifvelseförslaget, att bakom detsamma dolde sig syften, som alls icke voro våra. — Vi togo emellertid förslaget ändå och visade, att vi också kunde genomföra den mening, som Riksdagen efter orden i skrifvelsen hade; ty 1883 och 1885 års riksdagsbeslut i brännvinsfrågan voro fullständigt i öfverensstämmelse med 1877 års skrifvelse — trots kommittébetänkandet, som låg emellan.</w:t>
        <w:br/>
        <w:br/>
        <w:t>Jag tror, att svenska Riksdagen och svenska nykterhetsvännerna — till hvilka jag räknar alla, som intressera sig för ett nyktert lif här i vårt land — äro i stånd att göra om den bedriften ännu en gång. Jag har således för min del icke den allra minsta tvekan att rösta för det nu föreliggande skrifvelseförslaget, om jag än gärna medger riktigheten af den anmärk-</w:t>
        <w:br/>
        <w:br/>
        <w:t>ning, som framställdes af den ärade talaren på Stockholmsbänken, Om utredning att det var på »något gammalmodig basis», utskottet formulerat ”örande mot-</w:t>
        <w:br/>
        <w:br/>
        <w:t>sin kläm, då syftet där angifves vara »att motarbeta alkoholmissbruket i vårt land». Det är verkligen sedan åtskilliga år tillbaka bortlagdt, det där talet om att motarbeta missbruket; ty man vet, att om man icke motarbetar bruket, sannerligen man vinner något med att motarbeta missbruket! Bruket, det veta vi så långt tillbaka erfarenheten däraf går i vårt land, är oskiljaktigt från missbruket. Vill man motarbeta missbruket, skall man således motarbeta bruket.</w:t>
        <w:br/>
        <w:br/>
        <w:t xml:space="preserve">Emellertid ber jag att få göra ett par små gensagor mot några yttranden, som fällts under diskussionen. En ärad talare nämnde nyss, att han kände sig tveksam i fråga om införandet af lokalt veto, på den grund att det egentligen icke var fråga om att införa lokalt veto — ty det hafva vi förut, utan det var fråga om att införa en ny sort af omröstning i kommunala frågor. Han har häri alldeles rätt. Det är väl för korthetens skull, gissar jag, man använder detta uttryckssätt: att införa det lokala vetot. Vi veta ju, hurusom det i själfva verket funnits här lagstadgadt ända sedan år 1855, den 18 januari. Men det är alldeles sant, att det är fråga om att införa ett nytt omröstningssätt. Han ställde sig nu tveksam beträffande detta sätt, därför att det var fråga om att, som han uttryckte sig, låta dem, som bära minsta delen af kommunens bördor, ändå i dessa stycken hafva den öfvervägande, den största bestämmanderätten. Jag vågar protestera emot riktigheten af detta uttalande. Jag vågar tvärtom påstå, att genom att införa detta nya omröstningssätt i fråga om rusdrycksutskänkning i kommunerna så gifva vi just dem tillfälle att något få bestämma i saken, hvilka bära den allra tyngsta delen af kommunens bördor. Ty, mina herrar, kommunens bördor äro icke bara penningafgifter, äro icke bara de på skattsedlarna upptagna summorna i kronor och ören; de äro vida mer än så. Och när jag pläderar för att införa ett omröstningssätt, hvarigenom </w:t>
      </w:r>
      <w:r>
        <w:rPr>
          <w:b/>
        </w:rPr>
        <w:t>kvinnorna¹</w:t>
      </w:r>
      <w:r>
        <w:rPr>
          <w:b w:val="0"/>
        </w:rPr>
        <w:t xml:space="preserve"> få någon möjlighet att i dessa frågor göra sitt inflytande gällande, pekar jag just på dem, som sannerligen icke bära den minsta delen af sagda bördor. Jag har under mitt lif haft så mången erfarenhet af hvad det vill säga för dem denna utskänkningsrätt, som beslutas ej sällan af några få personer, hvilka veta minst om och känna minst af hur den trycker, denna rätt, som de helt lätt bestämma, men som suger ut de arma arbetarehem, för hvilka ansvaret i så hög grad hvilar på husmödrarna. Därför har jag alltid känt det som en stor brist i vår kommunala lagstiftning, att just dessa, som bära den tyngsta bördan af frukterna utaf de där besluten, att de icke skola hafva något sätt att vid dem göra sig gällande.</w:t>
        <w:br/>
        <w:br/>
        <w:t>Jag skulle lifligt önska, att frågan om detta omröstningssätt, som alls icke behöfver förenas med den stora utredningsfrågan,</w:t>
        <w:br/>
        <w:br/>
        <w:t>Om utredning gjordes till föremål för en speciell utredning, som kunde göras rörande motfortare och föreläggas Riksdagen hastigare än resultatet af den</w:t>
        <w:br/>
        <w:br/>
        <w:t>mera omfattande, den stora utredningen i frågan.</w:t>
        <w:br/>
        <w:br/>
        <w:t>Utskottet talar om, att syftet nu är »att lägga en annan grund för nykterhetsarbetet än den, som 1855 års lagstiftning angifver». Jag är dock icke riktigt viss om, huruvida utskottet noga betänkt dessa ord, innan de nedskrifvits. Jag tror för min del, att 1855 års lagstiftning bedömes orätt, om man tänker sig, att för att kunna åstadkomma bättre nykterhetsresultat man behöfver skaffa sig nya lagstiftningsgrunder. Nej, mina herrar, fullföljen bara arbetet på samma grunder, men fullföljen det så långt som möjligt och riktigt är; därpå beror det. Hvad som särskildt utmärker 1855 års lagstiftnings grunder är syftet att genom att undandraga det privata intresset vinsten af denna farliga rörelse åstadkomma framsteg, hvilka, så länge rörelsen ställdes i nära förbindelse med det privata vinstintresset, skulle befinnas vara omöjliga att nå. Det är den tanken i 1855 års grunder, som i fråga om försäljningen i stad har utvecklats i det så kallade göteborgssystemet; men göteborgssystemet är i denna stund endast halffärdigt. Det tog visserligen en del af utskänkningen liksom senare också af utminuteringen i städerna från de privata intressena och lade dem under sig; men det blef och det finnes ännu tillräckligt mycket kvar, för att utvecklingen af detta system aldrig kunnat blifva hel. Egendomligt är också att se, huru man i utlandet känner sig disappointerad, när man där sätter sig in i detta svenska system, om hvilket kännedomen ju är spridd öfver hela världen, då man finner, att de uppgifter, som gifvas rörande dessa bolags försäljningar, icke representera hela försäljningsbeloppet i kommunen, utan endast en del af det hela, den, hvilken fråntagits det privata handelsintresset. Således, göteborgssystemets resultat få icke bedömas efter resultaten at ett halffärdigt system; domen däröfver bör naturligtvis anstå, till dess det realiserats såsom meningen från början varit, såsom den tänkta tanken egentligen bort utföras; och på samma sätt får icke heller 1855 års lagstiftnings grunder utdömas, förrän man sett, hur långt de kunna anlitas för ett åstadkomma ett bättre tillstånd än det, som redan är vunnet.</w:t>
        <w:br/>
        <w:br/>
        <w:t>Här har nu också talats åtskilligt om den föreslagna utredningen; man har undrat, om den verkligen skulle vara så nödvändig, och man har menat, att den skulle vara mindre nödvändig än farlig, därför att den skulle till en oviss framtid uppskjuta förbudsönskemålets förverkligande. För min del är jag öfvertygad om dess nödvändighet. Den är nödvändig för reformens motståndare och nödvändig för alla dem, som ställa sig tviflande — men den är sannerligen också nödvändig för dem, som ifra för detta totalförbud. De allra flesta af dem äro drifna afädla, människovänliga intressen. Men de veta icke, de hafva icke i</w:t>
        <w:br/>
        <w:br/>
        <w:t>sin makt att uppfatta alla de med denna reform förbundna svå- Om utredning righeter. Ack, mina herrar, jag behöfver ju blott påminna om le jar huru det folk, vi representera, 1 sin första skapande verksamhet, ”,koholmiss. när det bildade sin gudasaga, tänkte sig sin himmel. Hur tänkte bruket. de sig den? Jo, som ett ölutskänkningsställe! Att njuta af att äta (Forts.) fläsk öfver en viss gräns, det förbjuder ju naturen — men att i det oändliga dricka öl, däri låg saligheten! Det sinade aldrig, det stora hafvet, där mjödet från Heidruns spenar flöt: så tänkte de sig sin himmelska lycka! Och sedan den tiden vitsorda alltjämt våra eddor, våra kungasagor, våra landskapslagar, alla de förordningar, de plakat, som utgåfvos af olika konungar, de förbudslagar, som utfärdades då och då, men aldrig kunde upprätthållas — dessa vitsorda ju, att precis samma uppfattning af en härlig lycka, af en hög och ljuflig tillvaro inom vårt folk är förbunden med njutningen af alkoholhaltiga drycker! Nu tänker man sig, att med ett enkelt beslut vi här skola kunna åstadkomma en fullständig förändring i detta förhållande! Nej, mina herrar, det går icke så lätt; vi få vara beredda på en strid, som skall fortsätta, jag vet icke hur länge, men årtionde efter årtionde, det vågar jag tryggt säga, och kanske än längre, innan vi hinna så långt, att vi vunnit en beståndande seger. Och när hafva vi då vunnit en sådan seger? Jo, när vi på öfverlygelsens väg hafva fått det stora flertalet af svenska folket att inse, hvilken otrolig missuppfattning det var, som låg till grund för urfädernas åsikt om lyckan och härligheten i Valhall.</w:t>
        <w:br/>
        <w:br/>
        <w:t>Redan i »den Höges sång&gt; talar denne, som vi veta föreställes vara Odin, om faran i just detta rusande njutningsmedel; han varnar för att njuta »för många mått öl»; han ber dem, att de skola begripa, att det, som man säger, ligger en orm i glaset. Han talade väl i det hela taget för döfva öron; men hafva vi icke sedan dess hunnit vida längre, än han då skulle hafva kunnat tänka sig? Det behöfves ock alltjämt ett trofast och uthålligt arbete. Det är detta många af våra förbudsifrare icke nog beaktat: de tro, att man kan vinna ett så härligt och stort mål som det uppställda utan ett genomgående och fortsatt utrotningsarbete. Det är en fiktion.</w:t>
        <w:br/>
        <w:br/>
        <w:t xml:space="preserve">När jag för en del år sedan skulle utreda frågan om våra så kallade spinnhusafgifter, som fortlefde ända till midten af förra seklet, fann jag några uttalanden, hvilka jag antecknat. Krögarna i Stockholm hade fått sig ålagd skyldigheten att till spinnhusets upprättande och underhåll årligen tillverka ett visst kvantum spånad, därför att man hade funnit, att af de </w:t>
      </w:r>
      <w:r>
        <w:rPr>
          <w:b/>
        </w:rPr>
        <w:t>kvinnor¹</w:t>
      </w:r>
      <w:r>
        <w:rPr>
          <w:b w:val="0"/>
        </w:rPr>
        <w:t xml:space="preserve">, som intogos på spinnhuset, de allra flesta förut hade passerat krogarna såsom </w:t>
      </w:r>
      <w:r>
        <w:rPr>
          <w:b/>
        </w:rPr>
        <w:t>tjänarinnor³</w:t>
      </w:r>
      <w:r>
        <w:rPr>
          <w:b w:val="0"/>
        </w:rPr>
        <w:t xml:space="preserve"> där, och då tyckte man, att det icke var annat än i sin ordning, att krögarna också skulle få betala något till spinnhusets underhåll. De fingo emellertid den spånadsskyldigheten öfverflyttad till utbetalande af ett visst belopp, 10,000</w:t>
        <w:br/>
        <w:br/>
        <w:t>från dem om befrielse från spinnhusafgiften, då de uppgåfve sig hafva »på grund af mellankomna förbud bragts till fullkomlig näringslöshet&gt;. De hade nämligen förbjudits att sälja svenskt brännvin; visserligen hade de då fått i ersättning tillstånd att sälja franskt brännvin — jag gissar, att det är detsamma, som vi nu kalla konjak — men så togs äfven den rättigheten från dem, och då tyckte de det vara obilligt, att de skulle betala den där spinnhusafgiften. Sekreta handelsoch manufakturdeputationen yttrade emellertid i ett utlåtande till Riksdagen år 1747, att om det än var med förbuden som de påstått, så hade deputationen dock mycken anledning att tro, »det svenskt brännvin aldrig trutit krögarna, ehuru förbudet på dess tillverkning samt förande städerna emellan varit nog allvarsamt&gt;.</w:t>
        <w:br/>
        <w:br/>
        <w:t>Då sedermera år 1761 samma ansökan upprepades, så hördes spinnhusarrendatorn rörande krögarnas anhållan. Han svarade, att »förfarenheten nogsamt utvisat, huruledes oaktadt strängaste bevakning, brännvinsförsäljningen å krogar i den förflutna tiden, då all brännvinsbränning varit förbjuden, icke kunnat förekommas.»</w:t>
        <w:br/>
        <w:br/>
        <w:t>I händelse vi icke vilja likna bourbonerna, mot hvilka det ju anförts, att de ingenting lärt och ingenting glömt, böra vi hafva sinne för hvad det innebär att besluta ett förbud, innan folkmeningen har förstått att fatta innebörden, den lyckliga innebörden i beslutet. Då här i början af debatten talades om det olämpliga uti att Riksdagen beviljat anslag till nykterhetsorganisationer, som användt dem i bestämdt syfte att arbeta för förbudsuppfattningen, och den ärade talare, som kände sig däraf träffad, sökte motbevisa denna anklagelse därmed, att han visade, hur Riksdagens anslag användts till andra syften, får jag för min del säga, att det försvaret syntes mig vara fullkomligt onödigt. Om Riksdagen beviljar helafhållsamhetsorganisationer anslag för att genom nykterhetsagitation försöka utbreda och förstärka nykterheten i landet, så anser jag, att om de använde pengarna på just helafhållsamhetssyftet, de aldrig kunna handla klokare; ty, mina herrar, det är på den vägen och säkrast på den vägen vi nå brännvinsförbudet — hvilket vållar skada och är olyckligt, när det beslutes emot folkets uppfattning, men som sannerligen är synnerligen lyckligt, när det beslutes med folkets uppfattning och öfverensstämmande med dess redan vunna praxis.</w:t>
        <w:br/>
        <w:br/>
        <w:t>Herr talman, jag tillåter mig yrka bifall till utskottets hemställan med det af grefve Lagerbjelke under öfverläggningen föreslagna tillägget.</w:t>
      </w:r>
    </w:p>
    <w:p>
      <w:pPr>
        <w:pStyle w:val="Heading2"/>
      </w:pPr>
      <w:r>
        <w:t>3. Gustaf Windahl (Det förenade högerpartiet, man)</w:t>
      </w:r>
    </w:p>
    <w:p>
      <w:r>
        <w:rPr>
          <w:b w:val="0"/>
        </w:rPr>
        <w:t>Herr talman, mina herrar! Det föreliggande utskottsbetänkandet hemställer om en allsidig och omfat-</w:t>
        <w:br/>
        <w:br/>
        <w:t>tande utredning af de lämpligaste medlen att motarbeta alkoholmissbruket samt särskildt af totalförbudets innebörd och konsekvenser i olika hänseenden. På samma gång utskottet hemställer härom, förklarar utskottet emellertid, att det gärna skulle se och att det hoppas, att under denna stora utrednings gång det dock skall komma att visa sig, att åtskilliga mera speciella områden finnas, där man skall kunna komma fram med särskilda förslag, utan att behöfva afvakta utredningen i dess helhet.</w:t>
        <w:br/>
        <w:br/>
        <w:t>För min del tror jag, att sådana skola visa sig af många och olika slag. Här vill jag likväl påpeka endast ett område, där jag tror, att alkoholfrågan är på ett alldeles särskildt sätt nödvändig att taga under öfvervägande, ett område, där jag också tror, att meningarna icke gärna skola kunna vara delade om att, i händelse något kan göras, det också bör göras med det snaraste.</w:t>
        <w:br/>
        <w:br/>
        <w:t xml:space="preserve">Jag syftar här på alkoholfrågans förhållande till vår ungdom. För ungdomen är spriten otvifvelaktigt på ett ganska säreget sätt bestämmande och ödesdiger. Jag tänker då icke i första hand på det grofva missbruk, som tyvärr icke så sällan förekommer bland ungdomen nu för tiden, utan jag tänker ännu mer på det till synes måttliga bruket och framför allt på den nästan specifika verkan spriten har på ungdomen i det hänseendet, att den lossar på de band, som hålla de sexuella drifterna inom behöriga gränser. Äfven i en vanlig läkarpraktik i landsorten får man under årens lopp en ganska stadgad öfvertygelse om olyckorna i detta hänseende. Man får ofta besök af unga, och i bland mycket unga män, som vilja förhöra sig, om de icke råkat ut för smittosamma svåra sjukdomar — och mycket ofta verkligen också hafva råkat ut för sådana, likaså, i synnerhet på landsbygden, får man mycket ofta besök af unga </w:t>
      </w:r>
      <w:r>
        <w:rPr>
          <w:b/>
        </w:rPr>
        <w:t>kvinnor¹</w:t>
      </w:r>
      <w:r>
        <w:rPr>
          <w:b w:val="0"/>
        </w:rPr>
        <w:t>, som frukta — och oftast med skäl — att de råkat i olycka. I de allra flesta af dessa fall får man veta, att vid dessa ungdomens första felsteg spriten såsom föranledande moment så godt som alltid på något sätt spelat in. Formerna växla. I städerna är det fester på värdshus och schweizerier, på landet har bondpojken hemköpt sin flaska med vin eller brännvin eller i brist på annat så kallade »hjärtstyrkande droppar»&gt;.</w:t>
        <w:br/>
        <w:br/>
        <w:t>När man nu vet, i hvilken ofantligt hög grad dessa könssjukdomar och dessa förtidiga hafvandeskap omgestalta unga personers hela framtid och hur de sträcka sig in på nästa släkte, kommer man lätt till den öfvertygelsen, att det just är denna till synes oskyldiga spritförbrukning i ungdomen, som åstadkommer mera djupgående och svårare olyckor både för den enskilde och för samhället än en hel mängd af den sprit, som förtärs vid en senare ålder, då folk kommit till en mera stadgad syn och uppfattning om saker och förhållanden.</w:t>
        <w:br/>
        <w:br/>
        <w:t>alkohohnisstering till minderåriga under 15 år. För mig synes det obetin-</w:t>
        <w:br/>
        <w:br/>
        <w:t>gadt, som om den allra farligaste åldern vore åldern intill och närmast öfver 20 år. Jag tror för min del, att tiden skulle vara mogen för en ansenlig höjning i den nu gällande minimiåldern, och jag tror knappt, att en synnerligen lång utredning skulle vara erforderlig för att blifva öfvertygad om nyttan och ofarligheten af att vidtaga en sådan höjning. Kunde man på ett mera effektivt sätt än nu hålla ungdomen från spriten — och därtill vore väl den allra bästa vägen en någorlunda god höjning af minimiåldern för vistande på krogar och värdshus — skulle därmed mycket vara vunnet.</w:t>
        <w:br/>
        <w:br/>
        <w:t>Jag vill icke ingå på flera specialfrågor, men denna anser jag vara af så synnerligen stor vikt, att den så snart som möjligt bör komma under behandling. I öfrigt ber jag, herr talman, att få instämma 1 utskottets hemställan med den ändring, som är gjord af grefve Lagerbjelke.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