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132</w:t>
      </w:r>
    </w:p>
    <w:p>
      <w:r>
        <w:rPr>
          <w:b/>
        </w:rPr>
        <w:t xml:space="preserve">Datum: </w:t>
      </w:r>
      <w:r>
        <w:t>1910-04-04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Ivar Afzelius (Första kammarens minoritetsparti, man)</w:t>
      </w:r>
    </w:p>
    <w:p>
      <w:r>
        <w:rPr>
          <w:b w:val="0"/>
        </w:rPr>
        <w:t>Jag är ense med motionärerna därom, att garantierna hos oss för en rätt tillämpning af häktningsinstitutet icke äro sådana, som de böra vara. Och därom är också utskottet ense. Jag är ock ense med utskottet därom, att en fullt tillfredsställande ordning på detta område icke kan skapas utan samband med en rättegångsreform. Frågan är emellertid: I afvaktan på denna rätte-</w:t>
        <w:br/>
        <w:br/>
        <w:t>gångsreform — som jag hoppas må komma så snart som möjligt, men som säkert ändå drager ganska länge om — i afvaktan på</w:t>
        <w:br/>
        <w:br/>
        <w:t>denna reform, kan ingenting göras under tiden?</w:t>
        <w:br/>
        <w:br/>
        <w:t>En sak är redan dragen under Kungl. Maj:ts pröfoing, nämligen frågan, huruvida man icke kan tidigare, än nu sker, få en häktningsåtgärd pröfvad af domstol. En skrifvelse i detta ämne afläts af 1904 års Riksdag. Men man kan ju fråga sig, och det hafva motionärerna gjort, om man icke kunde tänka sig, att en häktningsåtgärd underkastas pröfnivg at en öfverordnad administrativ myndigbet. Därom</w:t>
        <w:br/>
        <w:br/>
        <w:t>har utskottet ett yttrande, som föranledt mig att be att här få säga ett par ord. Det står på sid. 12:</w:t>
        <w:br/>
        <w:br/>
        <w:t xml:space="preserve">»Redan enligt vår gällande lagstiftning synes det emellertid vara den öfverordnade åklagareller polismyndighetens rätt och plikt att gentemot den </w:t>
      </w:r>
      <w:r>
        <w:rPr>
          <w:b/>
        </w:rPr>
        <w:t>henne²</w:t>
      </w:r>
      <w:r>
        <w:rPr>
          <w:b w:val="0"/>
        </w:rPr>
        <w:t xml:space="preserve"> underordnade ingripa för erhållande af rättelse, så snart uppenbar anledning finnes att antaga oriktigt förfarande från den senares sida.»</w:t>
        <w:br/>
        <w:br/>
        <w:t>Det skulle således finnas en rätt och plikt för den öfverordnade myndigheten att ingripa till rättelse därvidlag. Reservanterna, herr Widén m. fl. hafva uttryckt sitt tvifvel, huruvida det verkligen är så, och jag ber för min del att få instämma i detta tvifvel. Jag tror för min del, att den, som har häktningsrätt, bar denna rätt på eget ansvar och att han icke är skyldig att såsom underordnad tjänsteman underkasta sig ett direktiv i någon riktning af den öfverordnade. Jag känner icke heller något exempel på, att så förfarits. Väl har det händt, att på frivillig väg, genom ötverenskommelse eller så att säga genom privat påtryckning, något sådant kunnat äga rum, men för en maktutöfning, en utöfning af den legala myndigheten finnes icke utrymme.</w:t>
        <w:br/>
        <w:br/>
        <w:t>Vid sådant förhållande kunde det tyckas som borde jag instämma med reservanterna i det yrkande, som herr Löfgren nyss understödde. Ja, jag skulle ock göra det, ifall jag kunde göra för mig klart, huru en sådan sak i sin helhet kunde ordnas, huru vi skulle kunna ordna det så, att häktningsåtgärder i allmänhet skulle kunna underställas öfverordnad myndighets pröfning. Jag kan icke få detta klart för mig, och jag tycker, att herr Löfgren själf i motionen har anfört fullgoda skäl emot en sådan anordning. Det skulle kräfva en helt ny apparat, en anordning hos Konungens befallningshafvande, som skulle medföra anställande af nya krafter. Jag tror, som sagdt, att i allmänhet detta icke låter sig göra och jag skulle därför vilja inskränka mig till den punkt, som herr Löfgren särskildt framhållit, nämligen dessa extra ordinarie polistjänstemän, som pröfvats nödiga på grund af utvecklingen i landet, på grund af hopandet af större befolkning här och där på landsbygden. Med afseende på dessa förhållanden skulle jag vilja anse, att det vore riktigt, om man gaf någon bestämmelse, att häktningsåtgärd af sådana polistjänstemän skall pröfvas inom viss tid af en öfverordnad myndighet. Men hela denna fråga om landtpolisen ligger för närvarande under Kungl. Maj:ts pröfning. Kungl. Maj:ts uppmärksamhet är fäst på just detta, och vid sådant förhållande biträder jag lagutskottets mening, att det icke är nödvändigt att särskildt skrifva om den saken. Men då jag således är tillfreds med lagutskottets hemställan, så sker det under den uttryckliga förutsättning, som jag vill stryka under, att i sammanhang med ordnandet af landtpolisen det skall tagas i öfvervägande, huruvida man icke skall kunna föreskrifva, att när sådana där extra polismyndigheter få häktningsrätt, det må kunna ske med det förbehäll att inom en viss kort tid och i en viss ordning, som närmare bestämmes, häktningsåtgärden skall underställas pröfning af den ordinarie åklagaren.</w:t>
      </w:r>
    </w:p>
    <w:p>
      <w:pPr>
        <w:pStyle w:val="Heading2"/>
      </w:pPr>
      <w:r>
        <w:t>2. Ernst Trygger (Första kammarens nationella parti, man)</w:t>
      </w:r>
    </w:p>
    <w:p>
      <w:r>
        <w:rPr>
          <w:b w:val="0"/>
        </w:rPr>
        <w:t xml:space="preserve">Den siste ärade talaren uttalade tvifvelsmål, Om reformehuruvida ett yttrande i lagutskottets motivering skulle vara riktigt,”'”g VET &gt;att redan enligt vår gällande lagstiftning synes det vara den öfver- Fare Hen e ordnade åklagareller polismyndighetens rätt och plikt att gentemot (Forts.) den </w:t>
      </w:r>
      <w:r>
        <w:rPr>
          <w:b/>
        </w:rPr>
        <w:t>henne²</w:t>
      </w:r>
      <w:r>
        <w:rPr>
          <w:b w:val="0"/>
        </w:rPr>
        <w:t xml:space="preserve"> underordnade ingripa för erhållande af rättelse, så snart uppenbar anledning finnes att antaga oriktigt förfarande från den senares sida.»</w:t>
        <w:br/>
        <w:br/>
        <w:t>Den ärade talaren syntes däremot hysa den uppfattningen, att enligt gällande rätt den högre myndigheten måste med armarna i kors åse, hurusom den lägre myndigheten i strid mot lag häktade medborgare. Jag vet mycket vil, att denna fråga anses tvifvelaktig, och det har ju lagutskottet själf erkänt, men likväl kan jag icke finna något stadgande i lagen, som tvingar till en tolkning sådan, som den reservanterna vid utskottets betänkande och talaren i fråga gjort gällande. Vi skola komma ihåg, att när en poliseller åklagarmyndighet t. ex. häktat en person, som enligt lag icke bort häktas, har han gjort sig skyldig till ett brott, och enligt min mening är det en allmän rättsgrundsats hos oss, att, när ett brott blifvit begånget, har administrativ myndighet rättighet att, äfven innan brottet blifvit underkastadt domstols bedömande, såvidt möjligt återställa det rättstillstånd, som genom brottet i fråga uppenbarligen blifvit kränkt, och således i detta fall att upphäfva häktningen och släppa den ifrågavarande personen lös. Jag tycker verkligen, att det skulle vara rent upprörande, om svensk rätt vore sådan, att om t. ex. en länsman mot lag häktat en person, skulle icke Konungens befallningshafvande och naturligtvis icke heller Kungl. Maj:t kunna släppa honom lös, utan han finge sitta i fängelse tills domstol kommit tillsammans och pröfvat saken. Jag säger, att saken kan anses i viss mån tvifvelaktig, men när det gäller en tvifvelaktig lagtolkningsfråga, anser jag för min del, att man bör tolka lagen så mycket som möjligt efter billighet, och jag tycker, att billigheten talar för den af utskottet intagna ståndpunkten.</w:t>
        <w:br/>
        <w:br/>
        <w:t>En annan sak är, att nu gällande lag icke ger den häktade någon besvärsrätt från en lägre myndighet till en högre. Det är alldeles gifvet. Men däremot att den högre myndigheten af sitt eget initiativ, föranledt af anmälan från den häktade eller någon annan, skall släppa lös en person, som olagligt blifvit häktad, tror jag är svensk rätt.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