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135</w:t>
      </w:r>
    </w:p>
    <w:p>
      <w:r>
        <w:rPr>
          <w:b/>
        </w:rPr>
        <w:t xml:space="preserve">Datum: </w:t>
      </w:r>
      <w:r>
        <w:t>1910-05-11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Eliel Löfgren (Liberala samlingspartiet, man)</w:t>
      </w:r>
    </w:p>
    <w:p>
      <w:r>
        <w:rPr>
          <w:b w:val="0"/>
        </w:rPr>
        <w:t>Jag har en uppfattning om hvad balansräkningen bör innehålla, som 1i vissa delar står 1 strid med hvad här framhållits, och jag vill därför framställa det yrkande, till hvilket jag på grund af denna min uppfattning föranledes. Ehuru man icke 156 &amp; 1 mom. kunnat säga, att bolagets tillgångar skola upptagas till sina verkliga värden 1 följd af svårigheten att objektivt bestämma dessa och därför att det skulle föranleda till tvister aktieägarne emellan angående hvad som vore det verkliga värdet, har man dock i förslaget sagt, att bolagets tillgångar ej få upptagas öfver sina verkliga värden, eller till högre belopp än som motsvarar kostnaderna för deras anskaffning eller tillverkning. Jag menar att det häraf framgår, att det alltid från styrelsens sida, då den gör upp balansräkningen, fordras en värdering af tillgångarna för att styrelsen öfver hufvud taget skall kunna gifva de uppgifter, som fordras enligt 56 $, och då menar jag, att balansräkningen, såvidt möjligt, bör innehålla det enligt styrelsens uppfattning verkliga värdet å tillgångarna. Détta synes mig också vara at betydelse ur statssynpunkt. Här har visserligen framhållits faran för bolagen att hafva en bestämmelse om specificering af tillgångarna, men jag vill häremot påpeka, att staten har ett gifvet intresse af att till: gångarna till sitt verkliga värde angifvas i balansräkningen, på det att bolaget må kunna rätt beskattas. Men också de aktieägare,</w:t>
        <w:br/>
        <w:br/>
        <w:t>Lagförslag hvilka icke äro inne i bolagets förvaltning, hafva i allmänhet taget om aktiebolag ett dylikt intresse.</w:t>
        <w:br/>
        <w:br/>
        <w:t xml:space="preserve">Nu skulle jag därför helst velat ansluta mig till herr Sandströms motion, som påyrkar att i balansräkningen skola tillgångarna specificeras bland annat just för att gifva aktieägarne ledning för att bedöma värdet på sina aktier. Men man har framhållit och kanske med rätta att det skulle vara att alltför mycket prisgifva bolagets ställning åt allmänheten och därför medföra fara för bolagets konkurrensmöjligheter. Jag vill därför ej gå så långt som att yrka bifall till herr Sandströms motion. Men däremot skulle jag vilja förorda bifall till herr Widéns m. fl:s reservation, hvilken går därpå ut, att ifall ett bolag har afläggare uti ett </w:t>
      </w:r>
      <w:r>
        <w:rPr>
          <w:b/>
        </w:rPr>
        <w:t>dotterbolag²</w:t>
      </w:r>
      <w:r>
        <w:rPr>
          <w:b w:val="0"/>
        </w:rPr>
        <w:t xml:space="preserve">, och det förras egendom består i aktier i detta senare bolag, skall i moderbolaget balansräkningen upptaga antalet och värdet af de aktier, som moderbolaget har i afläggaren, samt balansräkningen hos </w:t>
      </w:r>
      <w:r>
        <w:rPr>
          <w:b/>
        </w:rPr>
        <w:t>dotterbolaget²</w:t>
      </w:r>
      <w:r>
        <w:rPr>
          <w:b w:val="0"/>
        </w:rPr>
        <w:t xml:space="preserve"> om möjligt bifogas balansräkningen hos moderbolaget. Det är ju så, att vid sådana bolag moderbolagets verksamhet "ofta inskränker sig till att förvalta aktier i </w:t>
      </w:r>
      <w:r>
        <w:rPr>
          <w:b/>
        </w:rPr>
        <w:t>dotterbolaget²</w:t>
      </w:r>
      <w:r>
        <w:rPr>
          <w:b w:val="0"/>
        </w:rPr>
        <w:t xml:space="preserve">, och det är då nödvändigt, om aktieägarne öfver hufvud taget skola kunna bedöma värdet af sina aktier, att de få reda på hvilket värdet dessa aktier i främmande bolag hafva eiler till hvad värde styrelsen har uppskattat dem. Det har inträffat, att bristen på en sådan bestämmelse i vår nuvarande lag medfört, att styrelsen och i bolagets affärer närmare initierade personer begagnat sig af de öfriga aktieägarnes okunnighet och under hand köpt upp aktier till undervärde. Icke heller tror jag, att upptagandet af aktiernas i </w:t>
      </w:r>
      <w:r>
        <w:rPr>
          <w:b/>
        </w:rPr>
        <w:t>dotterbolaget²</w:t>
      </w:r>
      <w:r>
        <w:rPr>
          <w:b w:val="0"/>
        </w:rPr>
        <w:t xml:space="preserve"> värde och antal skulle kunna på något sätt skada moderbolaget. Det tjänar däremot till upplysning för aktieägarne i moderbolaget om hvad de verkligen äga och detta böra de ock ha rättighet att få veta.</w:t>
        <w:br/>
        <w:br/>
        <w:t>Jag skulle alltså, eftersom yrkande nu gjorts på återremiss, vilja påyrka, att 56 &amp; måtte återremitteras till lagutskottet jämväl för öfvervägande om bifall till herr Widéns reservation.</w:t>
      </w:r>
    </w:p>
    <w:p>
      <w:pPr>
        <w:pStyle w:val="Heading2"/>
      </w:pPr>
      <w:r>
        <w:t>2. Ernst Trygger (Första kammarens nationella parti, man)</w:t>
      </w:r>
    </w:p>
    <w:p>
      <w:r>
        <w:rPr>
          <w:b w:val="0"/>
        </w:rPr>
        <w:t>Icke heller i denna del kan jag biträda yrkandet på återremiss. Det är visserligen sant, att det ibland är alldeles ofarligt att i balansräkningen upptaga de aktier till antal och värde, hvilka ett bolag äger i andra bolag och att bifoga dessa bolags balansräkningar, och om det är ofarligt, kommer det också att ske, hvarpå vi hafva många exempel. Men det är visst icke alltid ofarligt. Det är icke lämpligt att tala om för konkurrenterna uti hvilka bolag ett hufvudbolag har aktier, och att tala om huru många de hafva kan ibland vara ganska farligt, särskildt om man ej bar majoritet. Nu kan visserligen åberopas, att det inträffat — jag vet ej mera än ett fall som talats om — att ett bolag haft mycket värdefulla aktier i andra bolag, och åtskilliga, som ej vetat aktiernas värde, hafva gått och sålt sina aktier i hufvudbolaget. Men, mina herrar, detta bolag och de, hvilka här kunna komma</w:t>
        <w:br/>
        <w:br/>
        <w:t>i fråga, äro vanligtvis bolag, som gå mycket bra, så att aktieägarne kunna vara nöjda att de kommit in där, och icke är det väl meningen, att man skall gå och sälja sina aktier, så snart man icke fått önskad utdelning, utan man kan sitta lugn med sina goda aktier, och då undviker man också förlust. Kanske bolagets framgång berott på att man ej gått och talat om för hela världen, huru bolaget haft sina aktier placerade, och kanske just den omständigheten betingat aktiernas värde. Jag får säga, att om det gäller att taga hänsyn å ena sidan till deras förmenta intresse, som rusa iväg och sälja sina papper därför att de fått en oriktig uppfattning om deras värde, och å andra sidan ett lifskraftigt bolags styrka och framtida utveckling, så föredrager jag för min del att hålla på den senare synpunkten, och därför kan jag icke heller vara med om en återremiss på den grund, som nyss angafs.</w:t>
      </w:r>
    </w:p>
    <w:p>
      <w:pPr>
        <w:pStyle w:val="Heading2"/>
      </w:pPr>
      <w:r>
        <w:t>3. August Kjellberg (Det förenade högerpartiet, man)</w:t>
      </w:r>
    </w:p>
    <w:p>
      <w:r>
        <w:rPr>
          <w:b w:val="0"/>
        </w:rPr>
        <w:t>Jag skall be att i detta sammanhang få fästa uppmärksamheten på en bestämmelse, som förekommer i 85 $ mom. 3, hvilken bör hafva inflytande på det senaste spörsmålet. Nämnda lagrum innehåller nämligen:</w:t>
        <w:br/>
        <w:br/>
        <w:t>»Styrelsen vare pliktig att å den i denna paragraf afsedda stämma, i den mån sådant af aktieägare äskas och kan ske utan förfång för bolaget, meddela till buds stående närmare upplysvingar angående förhållanden, som kunna inverka på bedömandet af värdet å bolagets tillgångar och af dess ställning i öfrigt.»</w:t>
        <w:br/>
        <w:br/>
        <w:t xml:space="preserve">I enlighet härmed skulle det vara styrelsens plikt att, om någon aktieägare å stämman yrkar att få en specifikation på de aktier, som bolaget äger i andra bolag, lämna en sådan uppgift, för såvidt icke styrelsen anser att därigenom någon affärshemlighet röjes. Man tänke sig ett bolag som arbetar med mycken framgång, och som äger aktier i ett utländskt </w:t>
      </w:r>
      <w:r>
        <w:rPr>
          <w:b/>
        </w:rPr>
        <w:t>dotterbolag²</w:t>
      </w:r>
      <w:r>
        <w:rPr>
          <w:b w:val="0"/>
        </w:rPr>
        <w:t>. Det kan vara af största betydelse, att icke de utländska kunderna ha kännedom om att det svenska bolaget är ägare af aktiemajoriteten i det utländska. Om därför en aktieägare skulle begära specifikation å bolaget tillhöriga aktier, bör styrelsen kunna svara: våra aktier bestå i det och det och för öfrigt aktier, som ej böra omnämnas, därför att därigenom bolaget skulle skadas. Och jag tycker att med en bestämmelse som förenämnda i 85 8 mom. 3 bör man vara till freds.</w:t>
        <w:br/>
        <w:br/>
        <w:t>Jag vidbåller mitt yrkande på att återremiss ej må äga rum.</w:t>
        <w:br/>
        <w:br/>
        <w:t>Minst en månad före den bolagsstämma, hvarom förmäles i 82 S, aflämne styrelsen till revisorerna en af styrelsens ledamöter underskrifven förvaltningsberättelse jämte vinstoch förlusträkning samt balansräkning för det förflutna räkenskapsåret. Genom styrelsens försorg skola dessa bandlingar jämte den berättelse, som enligt hvad nedan sägs skall afgifvas af revisorerna, under minst en vecka närmast före stämman hållas för aktieägarna tillgängliga i tillräckligt antal exemplar äfvensom ofördröjligen öfversändas till aktieägare, som med uppgifvande af postadress anhåller därom.</w:t>
        <w:br/>
        <w:br/>
        <w:t>I förvaltningsberättelsen skall lämnas redogörelse för de under året verkställda afskrifningarna och grunderna därför.</w:t>
        <w:br/>
        <w:br/>
        <w:t>I förvaltningsberättelsen skall lämnas redogörelse för de under året verkställda afskrifningarna.»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