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1151</w:t>
      </w:r>
    </w:p>
    <w:p>
      <w:r>
        <w:rPr>
          <w:b/>
        </w:rPr>
        <w:t xml:space="preserve">Datum: </w:t>
      </w:r>
      <w:r>
        <w:t>1910-05-14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Jakob Byström (Liberala samlingspartiet, man)</w:t>
      </w:r>
    </w:p>
    <w:p>
      <w:r>
        <w:rPr>
          <w:b w:val="0"/>
        </w:rPr>
        <w:t>Herr talman, mina herrar! För 30 å 40 år tillbaka gaf Riksdagen det erkännandet åt den frikyrkliga verksamheten eller åt dissenters, att de fingo en lagstiftning, som gaf dem rätt att bedrifva sin verksamhet och utöfva sin religiösa bekännelse, men det dröjde ända till 1908, innan statsmakterna hade erkänt denna fria verksamhet så mycket, att den ansågs delvis kunna jämställas med statskyrkan ifråga om att kunna gagna ett statens ändamål. I den lagstiftning, som 1908 antogs, föreskrifves, att dissenters skola befrias till hälften från sin skatt för inkomst af kapital och arbete. Den andra hälften af deras skatt —- här gäller endast skatt till kyrkan — skulle fortfarande betalas, därför att det ansågs, att statskyrkans präster utöfvade också en sådan statens borgerliga verksamhet, att den gagnade alla, oafsedt hvilken religiös bekännelse de tillhörde. SR</w:t>
        <w:br/>
        <w:br/>
        <w:t>Nu gå ”krafven i den motion, jag framlagt, ut på, att de skola vara befriade till hälften äfven från skatt, som utgår af fastighet. Detta har nu utskottet icke velat gå med på. Mig synes, att det vore lika rätt, att dissenters befriades till hälften från denna skatt, som det är rätt, att de hafva befriats från hälften af skatt, som utgår af inkomst af kapital och arbete. Principen är ju densamma, och är det rätt i det ena fallet, är det också rätt i det andra. Exempel utifrån synas också tala för, att Riksdagen borde gå till mötes den rimliga framställning, som är gjord i denna min motiqn. Utskottet säger, "att det icke föreligger någon utredning 1 afseende å detta ärende, och att man därför icke kan gå med på motionen. Så har det sagts jämt. Det sades äfven i fråga om den del af skatten, från hvilken dissenters nu äro befriade, men är denna befrielse berättigad, är det väl i detta fall så godt som en tillräcklig utredning. Så säger man också, att det är ett onus, som vidlåder fastigheten, och den som köper den fastigheten får vidkännas detta onus. Ja, det kan man säga äfven om tiondet, som utgår till statskyrkliga ändamål. Detta onus åligger äfven vissa fastigheter, och då kunde det också stå kvar, ty den, som köper fastigheten, får köpa den med beräkning, att det är utskylder på fastigheten. Men nu har Riksdagen ansett, att man icke bör förfara så, och då menar jag, att man i analogi med detta skulle befria dissenters från skatt, com utgår af fastighet till belopp, jag här föreslagit, ungefär på samma sätt, som dissenters äro befriade från skatt för inkomst af kapital och arbete.</w:t>
        <w:br/>
        <w:br/>
        <w:t>I min motion förekommer ett uttryck, som jag ber att få säga några ord om. Det står på sid. 2 i detta betänkande: »Som synes gäller skattelindring allenast skatten för inkomst af kapital och arbete, men ej för inkomst af fastighet, som väl är den största inkomstkategorien.» Vid ett tillfälle, då denna motion noga granskades, gjordes ett litet nummer aft uttrycket »som väl är den största inkomstkategorien&gt;, emedan det ansågs, att detta var vilseledande. Det beror på, hur man tolkar detta uttryck. Som vi veta, gäller befrielse för dissenters från en del af kyrkoskatten redan under nuvarande förhållanden, och om man går ut från ordet »är», finner jag af den vidlyftiga och sakliga utredning, som prästlöneregleringskommittén verkställt, att mitt använda uttryck väl kan försvaras. Där läser jag följande: »På grund af gällande löneregleringar hafva, såsom kommitténs utredning i tab. 2 af tabellserien A gifver vid banden, församlingsafgifter till prästerskapets aflöning blifvit för ecklesiastikåret 1896—97 i hela riket — både landsbygd och städer — debiterade å jordbruksfastighet med kronor 3,699,450: 03 = 67.69 procent, å öfriga beskattningsföremål med kronor 1,765,734: 82 = 32.31 procent.</w:t>
        <w:br/>
        <w:br/>
        <w:t>Dessa afgifter, tillhopa 5,465,184 kronor, fördelade sig på beskattningsföremålen högst väsentligt olika i städerna och på landsbygden. Under det att nämligen, med uteslutande af ören, summa afgifter i städerna utgjorde: af jordbruksfastighet kronor 44,223 = 7.85 procent, af öfriga beskattningsföremål kronor 519,467 = 92.15 procent, utgjorde däremot å landsbygden summa afgifter: af jordbruksfastighet kronor 3,655,226 = 44.58 procent, af öfriga beskattningsföremål kronor 1,246,267 = 25.42 procent.</w:t>
        <w:br/>
        <w:br/>
        <w:t>Såsom synes af dessa siffror är den skatt, som nu utgår af fastighet, betydligt större än den skatt, som nu utgår af kapital och arbete. Med stöd af dessa siffror torde alltså min uppgift vara riktig. Däremot synes den kunna omkastas, om jag tänker mig, hvad som kommer att gälla, om lagförslaget kommer att antagas. Då vill det synas, såsom jag tagit närmare reda på, att inkomsten från andra skatteföremål än fastighet blir större. Jag har ansett mig böra nämna detta som en förklaring af saken, då det gjorts ett nummer af uttrycket »är den största inkomstkategorien&gt;.</w:t>
        <w:br/>
        <w:br/>
        <w:t xml:space="preserve">Herr talman, efter detta anförande, som kan anses nog i denna fåtaliga kammare, vill jag yrka, att Riksdagen ville besluta, att afgifter till svenska kyrkan eller </w:t>
      </w:r>
      <w:r>
        <w:rPr>
          <w:b/>
        </w:rPr>
        <w:t>hennes²</w:t>
      </w:r>
      <w:r>
        <w:rPr>
          <w:b w:val="0"/>
        </w:rPr>
        <w:t xml:space="preserve"> prästerskap eller betjäning, hvilka efter kyrkostämmas beslut eller eljest uttaxeras, skola endast med hälften af det belopp, som eljest bort utgå, påföras medlemmar af sådan i riket befintlig församling af främmande kristna eller mosaiska trosbekännare, hvilken äger rätt till offentlig religionsutöfning.</w:t>
        <w:br/>
        <w:br/>
        <w:t>Innan jag slutar, får jag kanske erinra om, att ehuru jag själf begagnat uttrycket »främmande trosbekännare», därför att</w:t>
        <w:br/>
        <w:br/>
        <w:t>det står i lagtexten, som jag citerat, så har jag dock för hvarje gång, jag gjort det, känt en inre opposition, en inre ovilja mot detta uttryck »främmande trosbekännare», tillämpadt på svenskar, som hysa från lutherska statskyrkan afvikande åsikter, och som ej längre torde kunna likställas med dessa inflyttande utländingar, som icke kunna vårt språk och icke heller ha en religion tillnärmelsevis lik den, som nu i många år varit dominerande i landet; dessa kunde man kalla främmande trosbekännare, men svårligen folk, som blott i några afseenden afvika från statskyrkan; ty dessa frikyrkliga, vågar jag påstå, äro lika goda svenskar och lika fosterlandsälskande som trots några andra.</w:t>
        <w:br/>
        <w:br/>
        <w:t>Jag ber till sist, herr talman, att få yrka bifall till min reservation.</w:t>
      </w:r>
    </w:p>
    <w:p>
      <w:pPr>
        <w:pStyle w:val="Heading2"/>
      </w:pPr>
      <w:r>
        <w:t>2. Frithiof Söderbergh (Liberala samlingspartiet, man)</w:t>
      </w:r>
    </w:p>
    <w:p>
      <w:r>
        <w:rPr>
          <w:b w:val="0"/>
        </w:rPr>
        <w:t xml:space="preserve">Herr talman! Tlagen af den 16 oktober 1908 stadgas, att »afgifter till svenska kyrkan eller </w:t>
      </w:r>
      <w:r>
        <w:rPr>
          <w:b/>
        </w:rPr>
        <w:t>hennes²</w:t>
      </w:r>
      <w:r>
        <w:rPr>
          <w:b w:val="0"/>
        </w:rPr>
        <w:t xml:space="preserve"> prästerskap eller betjäning, hvilka efter kyrkostämmans beslut eller eljest uttaxeras, skola för inkomst af kapital eller arbete endast med hälften af det belopp, som eljest bort utgå, påföras medlemmar af sådan i riket befintlig församling af främmande kristna eller mosaiska trosbekännare, hvilken äger rätt till offentlig religionsöfning». Anledningen till denna skattelindring har varit den, att det ansetts orättvist att tvinga medborgare, hvilka tillhörde af svenska staten själf erkända religionssamfund, till att vidkännas uppoffringar icke blott för vidmakthållande af egen kult utan därutöfver jämväl för underhållande af en kyrka och ett prästerskap, af hvilka de på grund af sin religiösa öfvertygelse icke kunde hafva något gagn. Nu menar min ärade vän Byström, att om det är rätt, att dessa få lindring i skatten för inkomst af kapital och arbete, måste det vara lika rätt, att de befrias åtminstone till samma belopp från skatt för inkomst af fastighet. Häremot kunna emellertid befogade erinringar göras af såväl principiell som praktisk natur. Man kan väl icke gärna rimligen påfordra, att religiös bekännelse hos en tillfällig ägare af en fastighet skall inverka på skyldigheten att utgöra ett vid denna fastighet bundet onus. När fastighetsägaren åtkommit en fastighet behäftad med sådant onus, har han ingenting att beklaga sig öfver, om han måste vinkännas detta onus i fortsättningen. Sedan kan det ju vara på det sättet, att en fastighet ofta byter ägare. Ågarna kunna växla på ett och samma år. Den ena gången är det en, som tillhör svenska statskyrkan, den andra gången en, som tillhör ett främmande</w:t>
        <w:br/>
        <w:br/>
        <w:t>religionssamfund. Det kan också inträffa, att fastigheten tillhör flera personer af olika religionsbekännelser. Hur skulle man då kunna lämpligen anordna skatteskyldigheten enligt sådana bestämmelser som herr Byström afser. Beloppen äro i öfrigt ganska ringa.</w:t>
        <w:br/>
        <w:br/>
        <w:t>Afven jag, min ärade vän Byström, måste göra ett litet nummer af Byströms påstående, att inkomst af fastighet är den största skattekategorien; den är det åtminstone icke i förevarande fall, Ar 1904 uttaxerades för fastigheter, tillhörande främmande trosbekännare, ett belopp af 9,292:18 kr. Den lindring, som, i händelse herr Byströms förslag då skulle hafva varit genom fördt, skulle kommit dissenters tillgodo, skulle ha uppgått till 4,646: 09 kr., men motsvarande afgift af inkomst af kapital och arbete beräknades det året till 32,148:48 kr., och då hade det blifvit en lindring af 16,074:24 kr. eller i det närmaste 4 gånger så stort belopp som i förstnämnda fallet.</w:t>
        <w:br/>
        <w:br/>
        <w:t>Ja, just därför att frågan är af så ringa ekonomisk innebörd, skulle jag ingenting haft att invända emot herr Byströms förslag, men det föreligger ingen tillräcklig utredning. Herr Byström har icke heller kunnat anvisa några anordningar för undanröjandet af de svårigheter, som skulle bli förenade med en sådan utvidgning af skattelindringen,. som han föreslagit. Därför kan jag i sakens nuvarande skick icke annat än med utskottet hemställa, att herr Byströms motion icke måtte af Riksdagen bifallas.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