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1156</w:t>
      </w:r>
    </w:p>
    <w:p>
      <w:r>
        <w:rPr>
          <w:b/>
        </w:rPr>
        <w:t xml:space="preserve">Datum: </w:t>
      </w:r>
      <w:r>
        <w:t>1910-05-26</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Persson (Lantmanna- och borgarepartiet inom andrakammaren, man)</w:t>
      </w:r>
    </w:p>
    <w:p>
      <w:r>
        <w:rPr>
          <w:b w:val="0"/>
        </w:rPr>
        <w:t>Herr talman, mina herrar! Jag skall be att få tillägga ett par ord, oaktadt det kanske vore obehöfligt, då detta ärende synes mig genom de föregående anförandena hafva blifvit tillfyllest utageradt, och interpellanten förklarat sig nöjd med det svar han erhållit, fastän det icke kommit från det håll han önskat. Jag får då säga, att nog har det sin stora betydelse, hvilket departement, som får ärendet om hand. Skulle civildepartementet ha det och således föreskrifva järnvägsstyrelsen, hvad den skulle taga betaldt för de biljetter, som skulle användas för ifrågavarande resor, så är det naturligen af större betydelse för den part saken gäller, om man kunde drifva det därhän. Men jag för min enskilda del får säga, att från det håll svaret nu är gifvet tilltalar det mig på det allra högsta. Och hvarför? Jo därför, att nu blir Riksdagen i tillfälle att pröfva denna sak. Men om interpellationen skulle hafva besvarats från det håll, som interpellanten önskat, och så, att svaret blifvit gynnsamt, så hade följden blifvit, att Riksdagen inte fått ett ord med i laget, utan då hade det blifvit föreskrifvet, hvad vederbörande skulle ha att betala för biljetterna, och därmed hade saken varit klar.</w:t>
        <w:br/>
        <w:br/>
        <w:t>Nu kan det hända, att detta är, såsom interpellanten säger, en ren bokföringsfråga. Det ären bokföringsfråga så till vida, att</w:t>
        <w:br/>
        <w:br/>
        <w:t>om Riksdagen anslår en viss summa på en viss hufvudtitel, som kommer en annan hufvudtitel till godo, så kan det komma på ett ut, då det ju ändock innebär, att man minskar inkomsten på en hufvudtitel med samma belopp, hvarmed anslaget uppföres på en annan hufvudtitel, och detta kan ju som sagdt komma på ett ut. Men det blir, som jag antydt, en stor skillnad på så sätt, att detta äger rum, utan att Riksdagen får sitt ord med i frågan.</w:t>
        <w:br/>
        <w:br/>
        <w:t xml:space="preserve">Om denna fråga skall lösas så, som interpellanten vill, så tror jag, att den växer ut och blir en stor fråga. Hvad som begäres har meddelats i en artikel, som finnes i Svensk Läraretidning, som jag har i min hand. Om jag då undersöker, hvad saken gäller, så finner jag, att det här angifves så, att »alla folkskolebarn, oafsedt ålder, vid ferieresa, såväl bortsom hemresa, och vid gemensamma resor under lärares eller </w:t>
      </w:r>
      <w:r>
        <w:rPr>
          <w:b/>
        </w:rPr>
        <w:t>lärarinnas³</w:t>
      </w:r>
      <w:r>
        <w:rPr>
          <w:b w:val="0"/>
        </w:rPr>
        <w:t xml:space="preserve"> ledning måtte få beräkna 50 2 rabatt på nu gällande barnbiljettspris; att tilläggsafgiften för resa med snälltåg måtte bortfalla vid nämnda resor, och att ledare af skolresor till ett antal af två, då de i resan deltagande lärjungarnas antal uppgår till 9, samt ytterligare en ledare för hvarje påbörjadt nytt tiotal af lärjungar måtte få åtnjuta samma rätt till nedsättning i biljettpriset som barnen», d. v. 8. de två lärare, som ha 9 barn med sig, få resa mot en nedsättning i biljettpriset, som innebär en afgift af 5 öre per zon, och detta är väl dock en nedsättning, som måste betraktas vara alltför stor. Nu är det naturligt, att om en så hög nedsättning kommer -till stånd, som den här ifrågasatta, så blir det en mängd deltagare i resorna, hvaraf en gifven följd blir, åtminstone enligt hvad jag vågar taga för gifvet, att en mycket stark trängsel uppstår på tågen — något som för öfrigt järnvägsstyrelsen framhållit i sitt utlåtande i ärendet. Om man t. ex. besinnar att — såsom det framgår af den handling som hvarje ledamot här har fått, nämligen berättelsen öfver hvad som tilldragit sig i rikets styrelse sedan senaste riksdag — det finnes 18,927 lärare och 750,000 barn i vårt land, så är det väl naturligt, att, då hvarje lärare och </w:t>
      </w:r>
      <w:r>
        <w:rPr>
          <w:b/>
        </w:rPr>
        <w:t>lärarinna³</w:t>
      </w:r>
      <w:r>
        <w:rPr>
          <w:b w:val="0"/>
        </w:rPr>
        <w:t xml:space="preserve"> får resa för 5 öre per zon, då de resa i 3:e klass, det kan tänkas, att de samla ihop 9 stycken barn och företaga en resa. Och således hoppas jag, att icke något barn skall gå förlustigt den förmånen att få se sig omkring i vårt land — och lärarna äro nog så kloka, att de få göra ganska många resor. Jag vill bara ta ett exempel från skoldistrikt med två lärare och 100 barn. Där blir det så, att hvarje lärare och </w:t>
      </w:r>
      <w:r>
        <w:rPr>
          <w:b/>
        </w:rPr>
        <w:t>lärarinna³</w:t>
      </w:r>
      <w:r>
        <w:rPr>
          <w:b w:val="0"/>
        </w:rPr>
        <w:t xml:space="preserve"> kan resa 7—38 gånger för ifrågavarande afgift, om alla barnen skola få resa. Och då kan man nästan få den tanken, att det icke är så mycket för barnens studier, och för att inplanta kunskaper hos dem, som resorna företagas utan fastmer för att lärarne eller </w:t>
      </w:r>
      <w:r>
        <w:rPr>
          <w:b/>
        </w:rPr>
        <w:t>lärarinnorna³</w:t>
      </w:r>
      <w:r>
        <w:rPr>
          <w:b w:val="0"/>
        </w:rPr>
        <w:t xml:space="preserve"> skola få tillfälle att resa hit eller dit.</w:t>
        <w:br/>
        <w:br/>
        <w:t>Jag tror således, att denna fråga är så stor, att man bör se sig väl före, innan denna önskan uppfylles, som här blifvit fram-</w:t>
        <w:br/>
        <w:br/>
        <w:t xml:space="preserve">ställd, och att denna sak åtminstone bör regleras så, att folkskoleinspektörerna få fastställa resorna, så att icke lärarne och </w:t>
      </w:r>
      <w:r>
        <w:rPr>
          <w:b/>
        </w:rPr>
        <w:t>lärarinnorna³</w:t>
      </w:r>
      <w:r>
        <w:rPr>
          <w:b w:val="0"/>
        </w:rPr>
        <w:t xml:space="preserve"> få resa efter sitt skön hvart de behaga, bara de laga så att det blir 9 stycken barn och 2 lärare hvarje gång.</w:t>
        <w:br/>
        <w:br/>
        <w:t>Det går väl bra långt, att något dylikt skall få förekomma. Det är ju nämligen så, att järnvägarna och öfriga statens institutioner, som ha att upphämta afgifter, skulle få en oskäligt ringa ersättning för de prestationer de ha att utföra, om, såsom här ifrågasatts, afgifterna skulle i vissa fall bestämmas så låga.</w:t>
        <w:br/>
        <w:br/>
        <w:t>Ja, nu har man också, såsom jag hört, sökt jämställa detta anslag och den nedsättning, som här är ifrågasatt, med fraktnedsättning för kalk. Men få dylika jämförelser göras och anses vara befogade, då får jag säga, att konsekvenserna bli ganska underliga. Ty hur ställer det sig härvidlag? Jo, det har blifvit fastställdt en fraktnedsättning för kalk, när det är fråga om transport å längre vägsträckor. Således skulle, om man stöder sig på den jämförelsen, det vara meningen, att barnen och lärarne skulle få resa huru långa vägar som helst, om lärarna så vilja. Men det går väl ej an.</w:t>
        <w:br/>
        <w:br/>
        <w:t xml:space="preserve">Jag har velat säga detta, ty jag tror, att frågan är af stor ekonomisk betydelse. Jag tror äfven, att man bör ordna saken så, att Riksdagen får tillfälle att på lämpligt sätt ordna dessa nedsättningar för skollärare, </w:t>
      </w:r>
      <w:r>
        <w:rPr>
          <w:b/>
        </w:rPr>
        <w:t>lärarinnor³</w:t>
      </w:r>
      <w:r>
        <w:rPr>
          <w:b w:val="0"/>
        </w:rPr>
        <w:t xml:space="preserve"> och barnen innan desamma blifva fastslagna.</w:t>
      </w:r>
    </w:p>
    <w:p>
      <w:pPr>
        <w:pStyle w:val="Heading2"/>
      </w:pPr>
      <w:r>
        <w:t>2. Fridtjuv Berg (–, man)</w:t>
      </w:r>
    </w:p>
    <w:p>
      <w:r>
        <w:rPr>
          <w:b w:val="0"/>
        </w:rPr>
        <w:t xml:space="preserve">Det var ett par punkter i herr Carl Perssons anförande, som nödgade mig att ännu en gång begära ordet. Herr Persson förklarade först, att ban inte kunde vara med om, att frågan löstes på det sätt interpellanten önskade. Jag ber då att ännu en gång få understryka, att jag önskar, att frågan löses precis på samma sätt, som ecklesiastikministern i dag förklarat, att han vill ha den löst. Detta var det ena. Men därjämte var det äfven en annan sak, som ännu mera påkallade, att jag måste taga till orda, och det var det försök herr Carl Persson gjorde att framställa förevarande fråga som en intressefråga för lärare och </w:t>
      </w:r>
      <w:r>
        <w:rPr>
          <w:b/>
        </w:rPr>
        <w:t>lärarinnor³</w:t>
      </w:r>
      <w:r>
        <w:rPr>
          <w:b w:val="0"/>
        </w:rPr>
        <w:t>, nämligen så att de skulle få tillfälle att komma ut och resa och roa sig och för det ändamålet blott skulle behöfva samla ihop ett litet antal barn för att få en förevändning att taga sig en lustresa på statens bekostnad. Jag vill då säga herr Carl Persson, och i det afseendet åberopar jag hela min kår såsom vittne, att det att vara ledare för studieresande folkskolebarn, det gör man icke för sitt nöjes skull, utan det är både ett stort arbete och ett stort ansvar, som man därigenom tager på sig. Sannerligen, de dagar man är ute och har ansvaret för en barnskara, då vet man, att man har plikter och icke reser för eget nöje. Jag ber herr Carl Persson skaffa sig kännedom om, huru det verkligen förhåller sig med denna sak, innan han kastar</w:t>
        <w:br/>
        <w:br/>
        <w:t>fram en sådan tanke. Herr Carl Persson sade, att man har rätt att ha den tanken. Jag vill härtill svara, att man icke har rätt att hafva några fula tankar, och den tanke, som här Carl Persson framkastade, är en ful tanke, mot hvilken jag bestämdt ber att få protestera och för hvilken icke finnes någon grund i verkligheten.</w:t>
        <w:br/>
        <w:br/>
        <w:t>Herr Edén. Herr talman, mina herrar! Rörande själfva den sakfråga, som ligger till grund för interpellationen har jag för min del, i likhet med herr Berg, icke något annat att säga än ett tack till ecklesiastikministern för det svar, som blifvit afgifvet.</w:t>
        <w:br/>
        <w:br/>
        <w:t>Men herr Berg vidfogade i slutet af sitt anförande också ett par små anmärkningar om det sätt, hvarpå denna sak, när den kom fram interpellationsvägen, blifvit behandlad, och hela detta sätt är af en så stor principiell betydelse, att jag trots denna sena timme af riksdagssessionen icke kan underlåta att göra några reflexioner öfver detsamma. Här föreligger det ganska egendomliga faktum, att för det första en interpellation framställts, men svar blifvit nekadt; att vidare för det andra, innan man ännu hunnit hämta sig från förvåningen öfver, att ett svar blifvit nekadt, svar dock kom, men icke till kammaren och icke från det tillfrågade statsrådet, utan till pressen och genom statsrådets närmaste man, expeditionschefen; att för det tredje frågan på nytt framställts, isak alldeles densamma, ehuru omformulerad och något utförligare, och slutligen för det fjärde, att den då blifvit besvarad.</w:t>
        <w:br/>
        <w:br/>
        <w:t>När denna procedur först kom i gång, när först nekande svar afgafs, så väckte detta, det tror jag mig tryggt kunna säga, inom hela denna kammare — jag vågar påstå, att partigränserna härvidlag voro mindre utpräglade, än de bruka vara — en synnerligen stor uppmärksamhet. Jag tror, att man inom hela kammaren hade klart för sig, att hvad som då skedde, var någonting så pass allvarsamt för hela interpellationsinstitutet, att det måste väcka den starkaste betänksamhet. Man hade klart för sig, att detta interpellationsinstitut icke tål vid många sådana knuffar, om det icke skall blifva alldeles kraftlöst och overksamt i konstitutionell praxis, och detta så mycket mer som beträffande detta institut icke finnas några bestämmelser i grundlagen, utan endast i Andra kammarens arbetsordning.</w:t>
        <w:br/>
        <w:br/>
        <w:t>Jag skall nu icke stanna länge vid det egendomliga förhållandet, att svar nekats i kammaren af herr statsrådet, men gifvits i pressen genom expeditionschefen. Man skulle visserligen kunna fråga sig, hvad den egentliga anledningen var till en sådan procedur. Man skulle kunna fråga sig, om herr statsrådet eller</w:t>
        <w:br/>
        <w:br/>
        <w:t>expeditionschefen verkligen ansåg, att den stora allmänheten hade Besvarande större intresse och större kompetens att bedöma saken än kammaren tf interpella-</w:t>
        <w:br/>
        <w:br/>
        <w:t>har, eller huruvida den stora allmänheten vore mera berättigad att få dessa upplysningar än kammaren. Men jag nödgas lämna dessa sidor af saken,och det tjänar icke heller mycket till att upptaga tiden med dem, då vi hafva vida viktigare spörsmål att fästa oss vid. Det är själfva det faktum, att herr statsrådet nekat att besvara den interpellation som först framställdes.</w:t>
        <w:br/>
        <w:br/>
        <w:t>Ställa vi detta faktum i belysning af den praxis, som utvecklat sig ifråga om interpellationer, så skulle jag tro att den förvåning där öfver, som jag nyss trott mig kunna konstatera från det stora öfvervägande antalet af kammarens ledamöter, skall visa sig synnerligen berättigad. bSåvidt jag kunnat uppleta, har det icke annat än i ytterst sällsynta undantagsfall förut förekommit, att svar blifvit nekadt på en interpellation. Jag törs naturligtvis icke göra anspråk på att fullständigt hafva genomgått alla de hundratals interpellationer, som framställts. Men så långt jag det förmått åtminstone, har jag icke funnit, att svar blifvit nekadt mer än i två enstaka fall, ett i Första och ett i Andra kammaren, och intet af dessa fall är på något sätt jämförligt med det nu föreliggande.</w:t>
        <w:br/>
        <w:br/>
        <w:t>Herr statsrådet har såsom skäl för sitt nekande att besvara den första interpellationen åberopat den bekanta 8 90 i regeringsformen. Därom skall jag till en början be att få anmärka, att $ 90 regeringsformen naturligtvis gäller för kammaren och speciellt för den af Konungen utnämnde talmannen lika väl som för herr statsrådet och regeringen. Jag kan då icke underlåta att konstatera, att såväl kammaren som talmannen i detta fall tolkat &amp; 90 regeringsformen annorlunda än herr statsrådet, då herr talmannen tillåtit propositionen och kammaren enhälligt godkänt framställandet af interpellationen utan att någon ansåg, alt den stred mot &amp; 90 regeringsformen. Så mycket angelägnare är det att söka få reda på, hvad det enligt herr statsrådets mening kan vara i 8 90 regeringsformen, som förbjuder besvarandet af denna interpellation. Jag ser, att herr statsrådet bär är närvarande, och jag skulle naturligtvis helst önskat, att jag vågat till herr statsrådet direkt framställa en vördsam förfrågan, huruvida ban skulle vilja inför oss utveckla, på hvad grund han anser &amp; 90 regeringsformen förbjuda honom svara på en sådan interpellation som denna. Men eftersom jag befarar, att jag icke alls skulle få något svar på en sådan förfrågan, nödgas jag fortsätta och ber då att för mig och, såsom jag hoppas, i någon mån för kammaren i sin helhet få söka klargöra, på hvilket sätt herr statsrådet möjligen kunnat tänkt sig dessa skäl och i hvad mån kammaren — jag ville gärna säga kammaren i sin helhet— skulle kunna vara med på en sådan tolkning af $&amp; 90 regeringsformen.</w:t>
        <w:br/>
        <w:br/>
        <w:t>Jag kan icke finna annat än, att herr statsrådet, när han åberopade &amp; 90 regeringsformen såsom skäl för att vägra besvara herr Bergs första interpellation, torde stödt sig därpå, att den fråga, som däri framställts, rörde ett enskildt regeringsbeslut. Kan hända att han särskildt tänkt på, att herr Berg frågat efter motiven till ett sådant regeringsbeslut. Herr statsrådet tycks i interpellationen hafva lagt in, att med densamma skulle afses att draga ett sådant regeringsbeslut under sådan »öfverläggning och pröfning», som i $&amp; 90 regeringsformen förbjudes.</w:t>
        <w:br/>
        <w:br/>
        <w:t>Kammaren kan vara trygg för, att jag nu icke alls tänker låta locka mig in på någon historisk-kritisk analys af &amp; 90 Reg. f£. Det skulle föra för långt. Jag vill inskränka mig till två enkla anmärkningar. Den första är, att det är ett af oss alla fullkomligt kändt och hvarje dag upplefvadt förhållande, att oupphörligt denna kammare såväl som medkammaren icke kan underlåta att i sina diskussioner indraga enskilda beslut och äfven motiven för enskilda beslut af regeringen. För hvarje dag talas inom dessa rum om sådana enskilda beslut. Det är icke möjligt att föra en konkret diskussion utan att tala om sådana saker, och hela öfverläggningens fribet inom en parlamentarisk församling måste vara byggd på, att man har rätt att röra vid äfven enskilda beslut af regeringen. BSjälfva den nu ifrågavarande saken har allra bäst illustrerat, att detta måste vara fallet. Omedelbart efter det herr statsrådet afgifvit sitt nekande svar vidfogades till detta svar ett par yttranden, som just gingo in på en kritik af det beslut, herr statsrådet vägrat att yttra sig om. En talare på skånebänken yttrade sig sålunda opåtaldt, och utan att någon tänkte på, att det skulle vara oriktigt, om just detta regeringsbeslut och kritiserade herr statsrådets hållning till den ifrågavarande petitionen, angående feriebarnens reskostnader. Jag erinrar vidare därom, att ecklesiastikministern, när han besvarade herr Starbäcks interpellation rörande ett permanent stadion, rent af själf för kammaren framlade ett alldeles nyss fattadt beslut och att interpellanten därmed fick tillfälle att därom yttra sig. Det är sålunda alldeles uppenbart, att &amp; 90 regeringsformen icke hindrar, att man i kammarens diskussioner berör och talar om regeringens beslut.</w:t>
        <w:br/>
        <w:br/>
        <w:t>Under sådana omständigheter kan jag icke finna annat än att tyngdpunkten i &amp; 90, hvad den än må hafva betydt ursprungligen vid sin tillkomst — hvilket jag här måste lämna åsido — enligt vår nuvarande parlamentariska praxis helt enkelt ligger i ordet pröfming. Paragrafen förbjuder, att kammaren tager under sin »pröfning» eller genom något i beslut: formuleradt omdöme på något sätt underkänner eller söker komma åt något regeringsbeslut med afseende på dess giltighet. Däremot kan paragrafen på intet sätt anses förhindra, att kammaren vid sina handlingar rör vid, talar om ett beslut.</w:t>
        <w:br/>
        <w:br/>
        <w:t>Om detta är obestridligt, och jag tror, att det är obestrid-</w:t>
        <w:br/>
        <w:br/>
        <w:t>ligt, så är det icke mindre obestridligt, att någon särskild inskränkning i denna kammarens rätt att i sina diskussioner beröra Kungl. Maj:ts beslut icke gäller i fråga om interpellationer. Praxis är i detta hänseende fullt tydlig och utan vacklan. Det finnes en mängd prejudikat, vid hvilka interpellanter ställt frågor, som rört enskilda regeringshandlingar och äfven motiv till regeringshandlingar, och ännu bar icke någon enda gång ett statsråd vägrat att besvara dem.</w:t>
        <w:br/>
        <w:br/>
        <w:t>Herr Berg har redan nämnt ett sådant exempel, som är mycket belysande. Det gäller den bekanta interpellationen af herr Risberg vid 1906 års Riksdag med anledning af att dåvarande justitieministern icke vid åtalet af pamfletten Gula faran åtalat efter visst lagrum. Denna interpellations framställande medgafs utan vidare af kammaren. Den besvarades af statsrådet och i diskussionen deltog en hel rad af män, som man torde hafva anledning antaga mycket noga vakade öfver Kungl. Maj:ts prerogativ. Jag vill endast nämna en af dem, en af den nu: varande civilministerns f. d. kolleger, förre ledamoten af denna kammare arkitekten Hammarskjöld. Herr Risbergs interpellation rörde visserligen icke egentligen ett regeringsbeslut, utan ett beslut af justitieministern såsom högsta åklagare — men äfven ett sådant måste enligt &amp; 90 vara underkastadt samma regler som regeringsbesluten. Alltså: då tänkte ingen på &amp; 90.</w:t>
        <w:br/>
        <w:br/>
        <w:t>Liknande är praxis, om vi vända oss till andra regeringar än den liberala från 1906 och icke minst under den nuvarande regeringens tid. År 1907 framställde en medlem i denna kammare, herr Branting, en interpellation, som rörde utvisandet af ryske undersåten 'Tscherniak. Interpellationen var formulerad på följande sätt:</w:t>
        <w:br/>
        <w:br/>
        <w:t>&gt;»Anser herr justitieministern det vara med svensk och allmän rättsåskådning förenligt, att, när utlämning af utländsk undersåte begärts, den juridiska pröfningen sker på sådant sätt, att den för brott anklagade förvägras ta del af och söka bemöta förefintligt anklagelsematerial.&gt; Som kammaren finner rörde interpellanten formellt icke vid en direkt utpekad regeringshandling, men hela motiveringen till interpellationen och hela diskussionen med anledning af denna interpellation gick oupphörligt in på regeringens speciella handlingar i fråga om ”Tscherniakfallet. Då nekade regeringen emellertid alldeles icke att svara. Jag kan icke finna annat än att detta fall skulle varit fullt lika mycket i strid med 8 90, som det af herr Berg framställda spörsmålet, om man tillämpar den af herr civilministern antydda tolkningen.</w:t>
        <w:br/>
        <w:br/>
        <w:t>Jag skall gå tillbaka till 1890-talet, en tidpunkt då interpellationers framställande ej sällan vägrades med ganska stor stränghet af Andra kammaren själf, och då man icke har anledning att tänka, att den då sittande regeringen förfor med alltför stor eftergifvenhet mot angrepp på Kungl. Maj:ts prerogativ.</w:t>
        <w:br/>
        <w:br/>
        <w:t>Då framställdes år 1896 af herr Kardell en interpellation af ungefär följande lydelse:</w:t>
        <w:br/>
        <w:br/>
        <w:t>» Då någon ändring af bestämmelserna i — grufvestadgan — icke i grundlagsenlig ordning beslutits, huru hafva då vissa bestämmelser i samma stadga kunnat alltifrån den 19 augasti 1889 af Kungl. Maj:t suspenderas genom Kungl. Maj:ts sistnämnda dag utfärdade kungörelse?» Och vidare: »Hvarför har icke, efter det Kungl. Maj:ts proposition till Riksdagen af den 9 mars 1894 med förslag till ändring af grufvestadgan af Riksdagen afslagits, Kungl. Maj:t upphäft berörda kungörelse?»</w:t>
        <w:br/>
        <w:br/>
        <w:t>Dåvarande chefen för civildepartementet ingick i ett mycket utförligt svar på denna interpellation. Han nämnde, att en del af frågan, den första, egentligen var af sådan art, att den fölle under konstitutionsutskottets pröfning, men han nekade icke alls att utveckla sakens läge med anknytning till det af interpellanten gifna uppslaget. Alltså äfven då en realdiskussion om regeringsbeslut.</w:t>
        <w:br/>
        <w:br/>
        <w:t>Jag skall icke trötta kammaren med en rad af ytterligare citat Jag går på en gång tillbaka till början af det nya statsskickets tid och nöjer mig med att anföra ytterligare endast en interpellation från år 1871, af dåvarande ledamoten af andra kammaren, herr Ehrenborg. Hans interpellation var af följande lydelse:</w:t>
        <w:br/>
        <w:br/>
        <w:t>» Efter hvilka grunder har Kungl. Maj:ts regering vid pröfning af underdåniga besvär öfver kommuners beslut om själfbeskattning för understöd till eller deltagande uti särskilda företag funnit de öfverklagade besluten hafva afsett eller icke afsett ändamål, hänförliga till kommunernas egna behof och gemensamma hushållsangelägenheter.</w:t>
        <w:br/>
        <w:br/>
        <w:t>Det svar som då gafs finner jag synnerligen belysande för det sätt, hvarpå man då uppfattade interpellationsinstitutet. Svaret är så mycket mera värdefullt, som det afgafs af en man, som sannerligen icke kan misstänkas att ha önskat eftergifva något af Kungl. Maj:ts rätt, nämligen dåvarande chefen för civildepartementet Bergström, och värdefullt ej mindre därför, att just han från början varit med om att formulera de bestämmelser om interpellationsrätten, som upptagits i kammarens arbetsordning. Han anförde, att det vore något svårt att gifva ett fullständigt svar, därför att interpellationen saknade det bestämda innehåll, som förutsattes i kammarens arbetsordning. Han skulle således tydligen ha önskat, att frågan hade syftat just på någon särskild punkt, hvilket man nu ansett så förgripligt. Men han tillade också, att han icke ett ögonblick tvekat att lämna ett svar. »Min beredvillighet»&gt;, förklarade han, »att i förevarande fall gå Kammarens Önskan till mötes må vara Kammaren ett vittnesbörd om det sätt, hvarpå jag uppfattar den ställning, hvilken jag i egenskap af Konungens rådgifvare i ett konstitutionellt land bör in-</w:t>
        <w:br/>
        <w:br/>
        <w:t>taga till representationen i allmänhet och särskildt till den kam- Besvarande mare, hvaraf jag är ledamot.» Det svaret gafs 1871, mina herrar. &amp; interpella-</w:t>
        <w:br/>
        <w:br/>
        <w:t>Jag tror mig kunna stanna vid dessa exempel. De böra no vara tillräckliga för att visa, att i interpellationernas behandling (Forts:) icke finnes något som helst prejudikat för en sådan tolkning af paragraf 90 i förhållande till interpellationsrätten som den, som nu kommit fram. Och jag ber särskildt få påpeka, att hittills tycks man icke ens ha tänkt sig, att interpellationer afsågo att draga ett regeringsbeslut, när man framställde fråga om sådana beslut, under kammarens pröfning på sådant sätt, att det skulle kunna komma i strid med &amp; 90 regeringsformen.</w:t>
        <w:br/>
        <w:br/>
        <w:t>Att så icke heller varit 'afsikten i detta fall, att här endast varit afsikten att få en saklig upplysning, därför borgar såväl interpellantens person som det sätt, hvarpå han sedermera omformulerat sin interpellation och nu med anledning af den uttalat sig. Jag nödgas för min del i det nekande svar, som gafs på den första interpellationen, spåra en misstänksamhet mot interpellanten och mot de afsikter, som dikterat hans interpellation, hvilken jag icke kan finna i något afseende motiverad.</w:t>
        <w:br/>
        <w:br/>
        <w:t>Mina herrar! De anmärkningar om herr civilministerns förfarande gent emot herr Bergs första interpellation, som jag härmed framställt, äro föranledda af två skäl. Först och främst det skälet att jag tror, att det är af synnerligen stor betydelse, att den svenska Riksdagen, åtminstone denna kammare, med om: sorg värnar om interpellationsrätten såsom sådan. Den har en så pass svag ställning, att den icke ytterligare får försvagas. Man har hittills trott, att den varit tryggad genom en ända till denna dag icke afbruten praxis, genom uttalanden vid dess tillkomst, att en sådan rätt låge i sakens natur, och genom de många tydliga och bestämda medgifvanden, som föregående regeringar gjort. Nu ser det ut, som om det icke alldeles vore så. Här har under denna riksdag inträffat, dels att en interpellation icke blifvit besvarad — den nu nämnda — dels också att interpellation blifvit besvarad för sent, att hela motivet, hela syftet med interpellationen förfallit — jag syftar härmed på den af herr Starbäck framställda interpellationen. Ställer man detta i belysning af ett annat faktum blir man så mycket mera betänksam, det faktum, att när en gång frågor framställts i Första kammaren, som dock icke ens i sin arbetsordning har interpellationsrätten intagen, då voro icke blott ett, utan två statsråd färdiga att ögonblickligen besvara de då framställda frågorna, och detta ehuru en af de två frågorna, den som ställdes till ecklesiastikministern, alldeles uppenbart, om man vill vara bokstafstolkare, rörde just en sådan sak som omnämnes 1 $ 90, där det talas om »verkställighet af någon lag, författning eller inrättning». Då svarade man. Men man svarar icke på samma sätt här. Jag kan icke finna annat än att kammaren bör mycket allvarligt reflektera på denna sak, och går det</w:t>
        <w:br/>
        <w:br/>
        <w:t>icke på annat sätt, så bör kammaren vara betänkt på att om icke vid denna riksdag så åtminstone vid en följande söka genom en grundlagsbestämmelse bereda största möjliga trygghet för interpellationernas riktiga behandling.</w:t>
        <w:br/>
        <w:br/>
        <w:t>Men vidare har jag också ett annat skäl för den vikt jag fäster vid denna sak. Jag har en särskild stark känsla af nödvändigheten att i belysning af detta nya faktum värna om den viktiga faktor i den allmänna konstitutionella utvecklingen, som heter konstitutionell praxis. Det är andra gången på två år, som en grundlagsparagraf dragits fram emot denna kammare för att motivera en regeringshandling, hvilken innebär ett tydligt ingripande mot hvad som verkligen varit praxis och obestridd praxis under många år. I fjor var det 8 46 RB. O., och i år är det &amp; 90 R. F. Det är mycket farliga vägar, som därmed blifvit beträdda På praxis är en ofantligt stor del af Svenska Riksdagens ställning grundad. Skulle man söka på allvar skära bort det, som praxis har lagt till eller byggt ut vid sidan af våra grundlagar, då blir det icke mycket kvar af den ställning, som denna Riksdag under hundrade år lyckats tillkämpa sig. Mot en sådan tendens, om den också icke framträdt mera än i ett par enstaka fall, tror jag det är nödvändigt, att Riksdagen häfdar sin rätt, den rätt som den tillkämpat sig genom hela sitt arbete i statsutvecklingen. Det borde för Andra kammaren vara en gemensam angelägenhet att stå på sin, hela kammarens, ja hela Riksdagens rätt. I denna anda har jag fattat denna sak, och i denna anda har jag velat göra dessa uttalanden.</w:t>
      </w:r>
    </w:p>
    <w:p>
      <w:pPr>
        <w:pStyle w:val="Heading2"/>
      </w:pPr>
      <w:r>
        <w:t>3. Carl Persson (Lantmanna- och borgarepartiet inom andrakammaren, man)</w:t>
      </w:r>
    </w:p>
    <w:p>
      <w:r>
        <w:rPr>
          <w:b w:val="0"/>
        </w:rPr>
        <w:t xml:space="preserve">Herr talman! Trots den ton och trots de hårda ord, med hvilka mitt anförande bemöttes af interpellanten, skall jag i alla fall be att få vidhålla min åsikt därom, att det skulle vara hälsosamt, om icke lärarna och </w:t>
      </w:r>
      <w:r>
        <w:rPr>
          <w:b/>
        </w:rPr>
        <w:t>lärarinnorna³</w:t>
      </w:r>
      <w:r>
        <w:rPr>
          <w:b w:val="0"/>
        </w:rPr>
        <w:t xml:space="preserve"> ensamma finge planera skolbarnens ferieresor, så att de skola få göras så godt som på statens bekostnad eller för de låga priser, som interpellanten ifrågasatt. Jag anser, att planerna för dessa resor åtminstone borde uppgöras af folkskoleinspektören. Då behöfde ens tankar icke gå 1 den riktning, som jag angaft i mitt uttalande.</w:t>
        <w:br/>
        <w:br/>
        <w:t>Så ber jag att få säga interpellanten, att det icke bör förundra honom, att jag och många med mig anse, att det tager</w:t>
        <w:br/>
        <w:br/>
        <w:t>sig underligt ut att två lärare skola behöfvas för nio barn under Besvarande en studieresa, då en lärare inom skolan kan undervisa ända till ef interpella- 40 barn utan att klagomål anförts häröfver. Det är naturligt, " att det måste taga sig underligt ut, att hvarje lärare skall ha (Forts.) hand om endast 4 eller 5 barn, när de skola ut på resa. Jag</w:t>
        <w:br/>
        <w:br/>
        <w:t>har icke förnekat, att lärarekåren är nitisk både hemma och</w:t>
        <w:br/>
        <w:br/>
        <w:t>borta, men jag kan icke tycka annat än att det går väl långt i</w:t>
        <w:br/>
        <w:br/>
        <w:t>detta fall, och jag tror, att många lärare skola gifva mig rätt härutinnan. Den förebråelse jag fick för mitt uttalande bär jag</w:t>
        <w:br/>
        <w:br/>
        <w:t>därför med jämnmod.</w:t>
      </w:r>
    </w:p>
    <w:p>
      <w:pPr>
        <w:pStyle w:val="Heading2"/>
      </w:pPr>
      <w:r>
        <w:t>4. Robert Johansson Dahr (Liberala samlingspartiet, man)</w:t>
      </w:r>
    </w:p>
    <w:p>
      <w:r>
        <w:rPr>
          <w:b w:val="0"/>
        </w:rPr>
        <w:t xml:space="preserve">Herr talman! Jag har icke begärt ordet för att yttra mig i den fråga, hvarom interpellationen rörde sig, och jag vill heller icke inlåta mig på det konstitutionella spörsmål, som afhandlades i det senaste anförandet. Men jag har begärt ordet i anledning af att herr Persson i Stallerhult i sitt första anförande gjorde gällande, att man i folkskollärarekårens sträfvan att bereda skolbarnen billiga ferieresor hade att se ett sträfvande, som icke uteslutande gäller barnens bästa utan äfven tillgodoser ett skollärarnes eget intresse, nämligen intresset att bereda möjighet till billiga resor för dem själfva. Jag ämnade blott beklaga, att ett sådant uttalande gjorts, ty jag kunde icke tänka mig annat än att det fällts i hastigheten och utan närmare öfvervägande. Nu finner jag emellertid af herr Carl Perssons senaste yttrande, att han vidhåller sitt uttalande och menar allvar med det. Vid sådant förhållande ber jag att i likhet med herr Berg få på det kraftigaste bestrida, att det förefinnes någon anledning att antaga, att lärarekåren i sin omnämnda sträfvan drifves af dylika motiv. Jag har aldrig deltagit i någon skolresa, men jag har öfvervakat planläggandet af sådana resor och med intresse följt utförandet af dem, och jag kan intyga, att det sannerligen är ett icke blott i högsta grad ansvarsfullt, utan äfven besvärligt värf för de lärare och </w:t>
      </w:r>
      <w:r>
        <w:rPr>
          <w:b/>
        </w:rPr>
        <w:t>lärarinnor³</w:t>
      </w:r>
      <w:r>
        <w:rPr>
          <w:b w:val="0"/>
        </w:rPr>
        <w:t>, som åtaga sig att följa en flock resande skolbarn. Hvarje skymt af berättigande är efter min mening utesluten för ett sådant antagande, som att folkskollärarkåren skulle drifvas af eget intresse, då den arbetar för att skolbarnen skola få tillfälle att resa på statens järnvägar i studiesyfte eller för att å landet stärka sina fysiska krafter. Det är detta jag velat uttala, och jag hade önskat att få stanna vid ett beklagande öfver ett förfluget ord, men då herr Persson i Stallerhult vidhåller sitt yttrande, ber jag att däremot få inlägga min protest.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1156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