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1159</w:t>
      </w:r>
    </w:p>
    <w:p>
      <w:r>
        <w:rPr>
          <w:b/>
        </w:rPr>
        <w:t xml:space="preserve">Datum: </w:t>
      </w:r>
      <w:r>
        <w:t>1910-06-02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 Olausson (Liberala samlingspartiet, man)</w:t>
      </w:r>
    </w:p>
    <w:p>
      <w:r>
        <w:rPr>
          <w:b w:val="0"/>
        </w:rPr>
        <w:t>Herr talman, mina herrar! Såsom reservanten nämnde, har jag —- jämte 20 af kammarens ledamöter — i denna punkt föreslagit en ändring i Kungl. Maj:ts förslag. Kungl. Maj:t har föreslagit, att afdrag må ske för bland annat »aflöning, kost och öfriga utgifter för de i skattskyldigs verksamhet använda biträden och arbetare.&gt; Jag jämte mina medmotionärer har föreslagit, att denna punkt måtte erhålla följande lydelse: »Aflöning, kost oeh öfriga utgifter för de i skattskyldigs verksamhet använda biträden och arbetare, barn eller fosterbarn öfver 15 år, dock ej till högre</w:t>
        <w:br/>
        <w:br/>
        <w:t>belopp än deras arbete, om det utförts af annan, skolat efter ortens arbetspriser betinga.»</w:t>
        <w:br/>
        <w:br/>
        <w:t>Som vi se, har utskottet afstyrkt detta förslag och såsom skäl därför framhållit bland annat, »att det, på sätt af chefen för finansdepartementet anmärkts, synes vara ganska naturligt, att husfadern beskattas för all den inkomst, som intjänas i familjens i ett intresseskap förenade arbete». |</w:t>
        <w:br/>
        <w:br/>
        <w:t>Vi finna således af utskottets betänkande den meningen vara uttalad, att om den skattskyldiges barn arbetar i hans enskilda intresseskap, skall husfadren erlägga skatt äfven för barnen, men om den skattskyldige har sina barn i en annans tjänst, så skall han därifrån vara befriad. Jag kan icke annat finna, än att en sådan bestämmelse innebär en uppenbar orättvisa.</w:t>
        <w:br/>
        <w:br/>
        <w:t>Utskottets vice ordförande, herr K. G. Karlsson, påstod, att oppositionen mot det nu föreliggande lagförslaget hufvudsakligen komme från landtbrukarna. Jag skulle vilja vända om den frågan så, att denna punkt i förslaget är riktad hufvudsakligen mot oss landtbrukare. Den måste ovillkorligen betraktas såsom en orättvisa, visad mot oss.</w:t>
        <w:br/>
        <w:br/>
        <w:t xml:space="preserve">Det kan väl icke vara rättvist, att en person, som har ett jordbruk och leger tjänare för att sköta detta jordbruk, skall äga rätt att göra afdrag för hvad dessa tjänare kosta, men att däremot en annan, som låter sina egna barn utföra samma arbete, icke skall hafva någon sådan rätt till afdrag. Jag vill anföra ett exempel på huru det tar sig ut i praktiken. Två personer kunna arrendera hvar sitt landtbruk. Den ena har tre vuxna söner och tre vuxna </w:t>
      </w:r>
      <w:r>
        <w:rPr>
          <w:b/>
        </w:rPr>
        <w:t>döttrar²</w:t>
      </w:r>
      <w:r>
        <w:rPr>
          <w:b w:val="0"/>
        </w:rPr>
        <w:t xml:space="preserve">, den andre har tre drängar och tre </w:t>
      </w:r>
      <w:r>
        <w:rPr>
          <w:b/>
        </w:rPr>
        <w:t>jungfrur²</w:t>
      </w:r>
      <w:r>
        <w:rPr>
          <w:b w:val="0"/>
        </w:rPr>
        <w:t xml:space="preserve"> i sin tjänst. Den senare har rätt att göra tre afsevärda afdrag och blir därigenom kanske helt och hållet befriad från skatt, men den andre får, därigenom att han icke äger rätt att göra afdrag för dessa ovillkorliga utgifter — för kläder och underhåll åt sönerna och </w:t>
      </w:r>
      <w:r>
        <w:rPr>
          <w:b/>
        </w:rPr>
        <w:t>döttrarna²</w:t>
      </w:r>
      <w:r>
        <w:rPr>
          <w:b w:val="0"/>
        </w:rPr>
        <w:t xml:space="preserve"> — måhända utgitva i skatt enligt denna förordning ett tre gånger större belopp än den, som har tjänare. Man vet ju, buru stora utgifterna äro för en arbetare, som man har i sin tjänst, och de äro sannolikt icke mindre för ens egna barn. Jag tror, att man utan ötverdrift kan sätta dessa utgifter till cirka 500 kronor för hvarje barn, och för en arrendator, som har sex barn, hvilka sköta jordbruksarbetet, får man sålunda beräkna ett belopp af icke mindre än 3,000 kronor, för hvilket han måste erlägga skatt, medan däremot en arrendator, som låter sex tjänare utföra arbetet, slipper betala någon skatt för motsvarande belopp.</w:t>
        <w:br/>
        <w:br/>
        <w:t>Utskottets ärade vice ordförande sade, att mitt förslag skuile öppna så många hål i skattesystemet, att därigenom stora belopp kunde rinna ut. Men grundsatsen för skattesystemet är väl framför allt rättvisa, och icke är det väl meningen, att den förevarande paragrafen skall vara till för att Sveriges jordbrukare därigenom skola bidraga mera än andra till den inkomstskatt, som här är i fråga. Jag har därför hela tiden tänkt, att denna punkt tillkommit i viss mån af förbiseende, och jag förmodar, att, om icke så är förhållandet, herr statsrådet och chefen för finansdepartementet, som jag här ser</w:t>
        <w:br/>
        <w:br/>
        <w:t>vara tillstädes, icke har något emot den lilla, men rättvisa förändringen, som af mig blifvit ifrågasatt.</w:t>
        <w:br/>
        <w:br/>
        <w:t>Reservanten nämnde, att herr statsrådet och chefen för finansdepartementet i motiven till detta lagförslag anfört, att det endast är den rena och bebållna inkomsten, som skall beskattas. Kan det då verkligen sägas, att de utgifter, som en skattskyldig bar för de barn, som arbeta åt honom, äro att betrakta som ren och behållen inkomst? Jag tror det icke.</w:t>
        <w:br/>
        <w:br/>
        <w:t>Här talades i går kväll om att man borde uppmuntra barnalstringen. Jag undrar, om det då kan vara rätt, att man på detta sätt beskattar barnalstringen. An värre, jag tror, att ett dylikt skattesig ut i främmande länder, och jag vågar utan öfverdrift påstå, att det kommer att skapa emigration i viss mån.</w:t>
        <w:br/>
        <w:br/>
        <w:t>Nu ha tre ledamöter af utskottet reserverat sig till förmån för motionen, men de ha ansett, att beloppet bör begränsas, och ha stannat vid siffran 200. Jag känner mig visserligen ej fullt nöjd med denna begränsning, ty då man vet, att utgifterna för hvarje person belöper sig till omkring 500 kronor, så måtte det väl vara alltför litet att betinga sig ett afdrag af endast 200 kronor. Men då här är fråga om att vinna något, så anser jag mig skyldig att förena mig med reservanterna i deras hemställan, och ber jag sålunda, herr talman, att få yrka bifall till reservationen.</w:t>
      </w:r>
    </w:p>
    <w:p>
      <w:pPr>
        <w:pStyle w:val="Heading2"/>
      </w:pPr>
      <w:r>
        <w:t>2. Herman Kvarnzelius (Folkpartiet, man)</w:t>
      </w:r>
    </w:p>
    <w:p>
      <w:r>
        <w:rPr>
          <w:b w:val="0"/>
        </w:rPr>
        <w:t xml:space="preserve">Herr talman! Den här frågan hänger samman med principen om familjen som enhet ur beskattningssynpunkt. Denna princip fasthåller man vid i fråga om beskattning af mannens och </w:t>
      </w:r>
      <w:r>
        <w:rPr>
          <w:b/>
        </w:rPr>
        <w:t>hustruns²</w:t>
      </w:r>
      <w:r>
        <w:rPr>
          <w:b w:val="0"/>
        </w:rPr>
        <w:t xml:space="preserve"> inkomster, hvilka sammanslagits till en enhet, för hvilken bevillningsfritt afdrag beräknas, då sådant kan komma ifråga. Många gånger har rests krat på att de skulle beskattas hvar för sig för att komma i åtnjutande af bevillningsfritt afdrag i större utsträckning. Detta har alltid afvisats. Om man nu skall bevilja afdrag för barnen, har man gifvetvis svårt för att ställa sig på fullständigt samma ståndpunkt, som man förut intagit, då man velat afvisa krafvet på att ur beskattningssyppunkt upplösa familjen och betrakta familjemedlemmarna som olika skatteobjekt hvar för sig.</w:t>
        <w:br/>
        <w:br/>
        <w:t>Det hela bottnar i det förhållandet, att man har något, som kallas bevillningsfritt afdrag. Funnes icke något sådant, spelade det icke någon roll, huru man i detta fall förfore. Om exempelvis en jordbrukare har i sin tjänst en dräng och aflönar denne med 400 kronor om året, och om han — drängen — icke finge beräkna bevillningsfritt afdrag för detta belopp, skulle han taxeras för dessa 400 kronor. Om åter en jordbrukare låter en hemmavarande son arbeta i jordbruket, och om man beräknar att kost, kläder och bostad för denne belöpa sig till 4090 kronor, böra gifvetvis dessa 400 kronor taxeras, och det gör staten detsamma, om sonen eller fadren taxeras därför utom i den mån skattens belopp påverkas af den progressiva skalan. Men nu ha vi något, som kallas bevillningsfritt afdrag, och det gör frågan invecklad i detta fall. Jag vill säga, att denna fråga icke är så stor, som den ser ut, hvilket man finner, när man går den närmare</w:t>
        <w:br/>
        <w:br/>
        <w:t>in på lifvet. Såsom reservationen här är affattad, skulle det för Förordning hvarje barn bli 200 kronors afdrag på den skattskyldiges taxerings- 0 inkomst-</w:t>
        <w:br/>
        <w:br/>
        <w:t>bara inkomst. Detta skulle komma att motsvara en minskad skatt af 80 öre å 1 krona 20 öre, då de lägsta skattesatserna äro 40 å 60 öre på 100 kronor. Hade en jordbrukare ett par barn, skulle det gå till dubbla beloppet. I hvarje fall är detta icke någon så stor fråga, och den spelar för den enskilde jordbrukaren icke en så stor roll, att den motiverar den ifver, med hvilken motionären gått i elden för sitt förslag. Emellertid vill jag å andra sidan säga, att det är mycket, som talar för, att man i någon mån borde gå motionärens önskan till mötes, och jag har därför inom utskottet ställt mig rätt sympatisk till hans förslag och erbjudit en kompromiss, gående ut på ett afdrag af 100 kronor för hvarje hemmavarande barn öfver 15 är, hvilket deltager i arbetet. Mitt förslag kom icke till någon närmare pröfning. På ett tidigare stadium var man nog inne på det, men i det slutliga afgörandet ville landtmannarepresentanterna icke reflektera på mitt anbud. Jag kan icke yrka bifall till reservationen, men jag skulle med jämnmod se, att den hlefve bifallen af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