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1194</w:t>
      </w:r>
    </w:p>
    <w:p>
      <w:r>
        <w:rPr>
          <w:b/>
        </w:rPr>
        <w:t xml:space="preserve">Datum: </w:t>
      </w:r>
      <w:r>
        <w:t>1911-05-18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mina herrar! Då i fjol Kungl. Maj:ts proposition rörande arbetsaftalslagstiftningen remitterades, tillät jag mig uttala ett beklagande utaf, att lagförslaget icke åtföljts utaf en proposition om åkarpslagens upphäfvande. Ty vill man verkligen genom lagstiftning söka främja den sociala freden, kan det icke vara likgiltigt, att den uppfattningen vunnit insteg, att arbetsgifvare och arbetstagare icke äro likställda inför lagen, och det kan befaras, att arbetsaftalslagstiftningen skall mötas med misstro utaf arbetarne, så länge det kvarstår oförändradt ett stadgande , i strafflagen, hvilket riktar sin udd just mot själfva kärnpunkten i all modern arbetarrörelse, nämligen arbetarnas solidaritet. Emellertid kom nu detta förslag till arbetsaftalslagstiftning utan att</w:t>
        <w:br/>
        <w:br/>
        <w:t>ha fått i sitt sällskap ett förslag om åkarpslagens upphäfvande. Samma förhållande har ägt rum 1 år.</w:t>
        <w:br/>
        <w:br/>
        <w:t>Nu är arbetsaftalslagen fallen. När denna fråga härnäst kommer upp, vet ingen. Det kan ju hända, att innan detta sker, åkarpslagen har på Riksdagens initiativ, om icke upphäfts, så åtminstone väsentligt omarbetats. Skulle så icke ha skett, vågar jag fasthålla vid den uppfattningen, att hvilken regering det än blir, som lägger fram en, lag om arbetsaftal, tror jag, att den skulle göra mycket klokt i att röja väg för denna lagstiftning genom att först ta bort den orättvisa åkarpslagen och likaledes lägga en fast mark för arbetsaftalslagstiftningen genom att reglera föreningsrätten.</w:t>
        <w:br/>
        <w:br/>
        <w:t>Det är ju så, att hvarje modern lag om arbetsaftal måste bygga på starka organisationer på båda sidorna, och under sådana förhållanden kan det ju icke vara tillrådligt, att, om man nu icke vågar sig på att direkt försöka stärka båda partiernas organisationer, i alla fall ha kvar en lag, som i hög grad försvagar arbetarnas organisationssträfvande. Det kan så mycket mindre gå an, som, om icke alla märken slå fel, utvecklingen på de sista åren har gått därhän, att arbetsgifvarnes organisationer synas vara de, som ha öfvertaget. Då åkarpslagen tillkom, var det nog icke så. Arbetsgifvarorganisationerna voro då i sin linda, under det att arbetareorganisationerna voro i ung och kraftig växt, och som det ofta händer med den unge, en smula heta, om jag så får säga. Men detta balansförhållande är helt och hållet, såvidt jag kan tilltro mig att bedöma saken, i högst väsentlig mån ändradt, så att nu äro arbetsgifvarna de starkaste, och jag vågar påstå, att häri kan ligga en ganska stor fara för samhället. Det är därför, som jag menar, att det nu är så mycket värre, att åkarpslagen finnes, än det var den gång, den tillkom, ehuru jag naturligtvis icke behöfver säga, att det är med sorg, man måste tänka på, att en sådan lag som åkarpslagen någonsin har blifvit stiftad i Sverige.</w:t>
        <w:br/>
        <w:br/>
        <w:t>Jag nämnde något om detta ändrade balansförhållande mellan arbetsgifvarnas och arbetstagarnas organisationer och sade, att det är ägnadt att uppväcka bekymmer, men man får ju hoppas, att hos oss arbetsgifvarnas organisationer måtte komma under ledning af personer, som känna sitt ansvar och förstå att hålla i schack de sämre elementen bland arbetsgifvarna, den typ, som representeras af den hänsynslöse, på alla kulturella intressen blottade profitjägaren. Jag vill hoppas, att arbetsgifvarorganisationernas bättre element måtte hålla denna typ i styr, annars kan det gå oss illa.</w:t>
        <w:br/>
        <w:br/>
        <w:t>Det finns på vissa ställen i utlandet tecken, som varsla att denna gåpåaretyp bland arbetsgifvarne skall försöka resa upp hufvudet och skall försöka tillvälla sig ledningen och föra ledningen in på en bana, som är olycksdiger. I det fallet läste jag</w:t>
        <w:br/>
        <w:br/>
        <w:t>verkligen med beklämning för några månader sedan en redogörelse i ett utländskt blad. Det var icke någon socialdemokratisk tidning — jag säger det, ty det finns ju åtskilliga, som tro, att de framställningar, som där kunna stå att läsa, äro färgade — utan det var i ett seriöst borgerligt blad, som denna redogörelse förekom. Där beskrefs, huruledes den största arbetsgifvaresammanslutningen i ett af Europas större kulturländer hade haft ett möte. Dagen var särskildt högtidlig, ty det var en gammal herre, som hade haft ledningen under en längre tid, som nu skulle lämna sin befattning och han höll ett afskedstal till dessa arbetsgifvare, som voro samlade där. Han kallade själf detta afskedstal för sitt socialpolitiska testamente. Jag har antecknat något af detta tal och skall be att få läsa upp endast ett par rader, som just voro de, som på mig verkade mest beklämmande, ehuru där fanns mycket annat i detta tal, som smakade i hög grad af cynism. Det var dessa rader mot slutet, som jag fäste mig vid, där denne gamle man säger: »Det nuvarande läget ställer arbetsgifvarne i den belägenheten att, trots alla ur ömkligt små motiv härrörande splittringar inom industrien, fast sammansluta sig för att med orubblig vilja tvinga ner arbetarnes organisationer, sönderslå, förinta dem. Detta måste vara målet, något annat gifves icke.»</w:t>
        <w:br/>
        <w:br/>
        <w:t>Ja, mina herrar, för ett sådant program få vi väl alla be försynen bevara oss, men jag vill säga, att om denna vind skulle blåsa hit, vore det ännu mer olyckligt, att åkarpslagen vore kvar, ty som jag redan har sagt, ligger i denna lag, åtminstone enligt mitt förmenande, det farligaste momentet just däri, att den riktar sin udd mot arbetarnes solidaritet och hindrar arbetarnes sammanslutningar, under det den lämnar arbetsgifvarnes alla metoder fullkomligt fria.</w:t>
        <w:br/>
        <w:br/>
        <w:t>De rent juridiska orimligheterna i åkarpslagen ha ju blifvit intill trötthet upprepade, så att det kan icke falla mig in att vid denna långt framskridna timme, då det för öfrigt väntas en talare, som jag vet, att kammaren med stort nöje hör, förlänga debatten med att så att säga skjuta ihjäl denna från juridisk synpunkt redan döda hök, som kallas åkarpslagen. Jag tror, att de synpunkter, som äro framlagda i reservationerna, om herrarne vilja läsa dem, äro tillräckliga för att belysa, hur oefterrättlig denna lag är såsom juridisk produkt betraktad. Jag skall sålunda icke uppehålla mig vid denna sak.</w:t>
        <w:br/>
        <w:br/>
        <w:t>Det väckte min undran, då jag läste lagutskottets utlåtande, att utskottet med riktigt glad tillförsikt konstaterar, att man icke hade märkt, att denna lag vållat några svårigheter vid lagtillämpningen. Jag kommer icke ihåg ordalagen, men jag skall be att få läsa upp detta stycke; jag tyckte att det var så underbart. Det står på sid. 7 i utskottsutlåtandet, att »denna erfarenhet synes nämligen icke visa, att det här mött större svårigheter än i andra fall vid lagtillämpningen kunna förefinnas att af omstän-</w:t>
        <w:br/>
        <w:br/>
        <w:t>digheterna vid en handlings begående med erforderlig säkerhet sluta till förefintligheten af en sådan rättsstridig afsikt, som i lagrummet förutsättes.&gt; Och längre ned på samma sida heter det: »erfarenheten angående lagens tillämpning har enligt utskottets mening icke gifvit vid handen, att den drabbat obehörigt eller orättvist.»</w:t>
        <w:br/>
        <w:br/>
        <w:t>Ja, de som äro så optimistiska, äro verkligen att gratulera. För min del må jag säga, att, i den mån man med säkerhet kan döma, hur åkarpslagen har verkat, och då man icke alldeles kan sluta till ögonen för de siffror, man redan har fått se i denna väg, jag tycker, att man icke använder ett för starkt uttryck, om man säger, att denna lags tillämpning i åtskilliga fall kan karaktäriseras som ett sorgespel — det vill jag verkligen kalla den för.</w:t>
        <w:br/>
        <w:br/>
        <w:t>Nu frågar jag: Hur skall man nu komma till hjälp 1 detta högst beklagansvärda läge? Att upphäfva lagen helt och hållet, ått återföra förhållandena till hvad de voro, innan denna olycksaliga åkarpslagstiftning påbörjades i landet, anser jag för min del fortfarande skulle vara det rationellaste. Jag har fortfarande mina sympatier på den sidan och vill erinra om, att många af liberala samlingspartiets medlemmaf vid mer än ett tillfälle gifvit sina röster för detta, men nu har ju frågan onekligen kommit i ett annat läge genom herr Thyréns motion. Man kan ju icke förbise, att frågan nu ställer sig helt annorlunda. Afven om nu — om jag så får kalla den — den thyrénska linjen icke oförändrad kommer att bifallas, hvilket väl torde vara uppenbart, är det dock och kommer alltid att bli ett historiskt faktum, att denna linje framlagts från ett så auktoritativt håll, att den kommer att kasta sin skugga framför sig lång tid framåt, och det är därför jag menar, att man icke, äfven om ens sympatier fortfarande äro åt det hållet, att det vore det enklaste och icke ledande till några farligheter att helt enkelt stryka ut denna åkarpslag, nu kan urgera ett sådant yrkande, utan att man därigenom riskerar att undanskjuta någonting, som dock i alla fall skulle vara en betydlig förbättring.</w:t>
        <w:br/>
        <w:br/>
        <w:t>Jag vill nu röra vid de punkter, som man oftast hör talas om, när denna åkarpslag är uppe till diskussion; de kunna icke nog ofta upprepas just därför, att samma invändningar komma igen hvarenda gång man försöker vederlägga dem. De komma tillbaka med samma styrka och precis som om ingenting vore sagdt emot dem. Det första, man ofta hör sägas, är: Tager man bort denna lag, bli de arbetsvilliga här i landet fågelfria, då kan folk göra med dem, hvad de vilja. — Jag har en gång här i kammaren bemött detta, men vill ändå vid detta tillfälle ännu en gång erinra om, att ett sådant påstående icke håller streck, ty antag, att åkarpslagen helt och hållet upphäfdes, hvad skulle då finnas kvar till skydd för de arbetsvilliga? Jo, hela 14 kap. strafflagen; det lämnas orubbadt vid åkarpslagens upphäfvande.</w:t>
        <w:br/>
        <w:br/>
        <w:t>Där talas om våld i alla former, och i det kapitlet upptages hela Om straffarsenalen från och med dödsstraff till fem kronors böter, ärdrad lydelse En näsknäpp eller en örfil skola fortfarande kunna rendera gär- 7 15 kap. 22 - PP 7 ndera gå och 24 $$</w:t>
        <w:br/>
        <w:br/>
        <w:t>ningsmannen ända till 6 månaders fängelse. Ett annat lagrum, strafflagen. som också lämnas orubbadt genom åkarpslagens upphäfvande, är (Forts.) 15 kap. 22 $ 1 mom. strafflagen, där det heter: »Tvingar någon utan laga rätt, eller med missbruk af sin rätt, genom våld eller hot, annan att något göra, tåla eller underlåta, straffes högst med straffarbete i två år, i de fall, där gärningen ej med svårare straff särskildt belagd är». Alltså, hvarje våld eller hot, om än så lindrigt, hvilket medför den nämnda effekten, d. v. s. att den våldförde eller hotade därigenom tvingas att något göra, tåla eller underlåta, skall alltjämt kunna medföra två års straffarbete. Märk väl, mina herrar, att äfven försök till dylikt tvång fortfarande kommer att bli straffbart, om nämligen försöket tagit formen af våld eller sådant straffbart hot, som beskrifves i 15 kap. 23 $ strafflagen! Till sist skulle denna 23 $ stå orubbad kvar, hvilken handlar om det straffbara hotet, och bibehålla sin nuvarande lydelse: »Hotar man annan, muntligen eller skriftligen, med misshandel eller brottslig gärning, och sker det på sådant sätt eller under sådana omständigheter, att anledning är att befara, det hotet verkställas skall, dömes, där ej det hot med särskildt straff belagdt är, till böter eller fängelse i högst sex månader.» Jag vågar således påstå, att äfven efter åkarpslagens upphäfvande ingalunda skall saknas lagbud, genom hvilka man kan, som det heter, klämma efter orostiftare.</w:t>
        <w:br/>
        <w:br/>
        <w:t>För mig ställer sig dock denna fråga så, att den, om jag så får säga, social-politiska kärnpunkten i denna fråga är just innebörden af det ordet »hot», som omtalas i 22 $ 4 mom. och hvartill äfven hänvisas i 2 mom. af samma $. Det är detta ord »hot», som, när det gällt arbetsstrider, blifvit af åtskilliga myndigheter tolkadt på ett sätt, som måste väcka bekymmer. Men en dylik lagtillämpning kan knappast förvåna, då man besinnar, att åkarpslagen genomfördes utan att denna ytterst viktiga fråga om innebörden af ordet »hot» på detta ställe blifvit tillfredsställande utredt. Då vi talade om denna sak sist här i kammaren, tillät jag mig erinra om högsta domstolens uttalande år 1899. Jag måste göra det ännu en gång, så mycket mera som den reservation, som är afgifven af några af de liberala ledamöterna i utskottet och bland dem mig, i viss mån ansluter sig till detta högsta domstolens uttalande. Jag skall därför tillåta mig att ännu en gång inför kammaren föredraga detta. Högsta domstolen säger 1899: »Hurudant ett hot skall vara beskaffadt, för att 15 kap. 22 $ strafflagen skall kunna därå tillämpas, utsäges ej i lagen. Det torde likväl böra antagas, å ena sidan, att ej hvarje än så oskyldigt hot kan därunder hänföras, och å andra sidan, att hotet ej behöfver vara så beskaffadt, som i 23 $ sägs. Förslaget innebär</w:t>
        <w:br/>
        <w:br/>
        <w:t>således, att hot, som icke medför någon vidare effekt, skall blifva straffbart i vissa fall, då det nu är straffritt. Om nu straffbudet skall sålunda utsträckas och följaktligen vid bedömandet af hotets straffbarhet ledning ej längre kan erhållas af det faktum, att den afsedda effekten därigenom uttvingats, synes man icke kunna stanna vid berörda obestämdhet.&gt; Detta säger högsta domstolen och fortsätter: »Det skulle kunna medföra, att personer komme att åtalas och dömas för åtgärder, hvilka i allmänhet anses fullt befogade eller som varit af beskaffenhet, att ej den ringaste fara för den afsedda effektens inträdande uppstått.» Vidare säger högsta domstolen: »Närmare bestämmelse bör alltså meddelas, huru sådant hot, som här afses, skall vara beskaffadt. Måhända bör för det fall, att någon effekt ej inträdt, ej annat hot än sådant, som omförmäles i 23 $, beläggas med det kvalificerade straffet.&gt; Det är just vid dessa i sista stycket gifna fingervisningar af högsta domstolen, den liberala reservationen knyter an.</w:t>
        <w:br/>
        <w:br/>
        <w:t>För att nu säga några ord om händelserna 1899, vill jag nämna, att dåvarande justitieministern lämnade detta ytterst viktiga uttalande af högsta domstolen utan något vidare afseende. Jag skall icke trötta herrarna med att läsa upp, hvad han sade vid det tillfället, men han hade en mycket optimistisk uppfattning, som tyckes vara lika stor som det nuvarande lagutskottets. Han trodde icke, att det skulle kunna gå så galet, utan han släppte ut lagen i detta ofullgångna skick, som jag vågar påstå den befann sig i.</w:t>
        <w:br/>
        <w:br/>
        <w:t>Man finner sålunda, att »de lärde» redan vid lagens stiftande tvistade om dess räckvidd. Men just denna oklarhet har medfört, att lagen kunnat utnyttjas till hindrande af arbetarnes själfklara rätt att fredligt öfvertala hvarandra till solidaritet och inträde i organisationerna. Ty nu får man tänka på, att först och främst kan hvarje uppträdande af strejkande arbetare i något afsevärdt antal lätt af skuggrädslan uppfattas som hot. Vidare möter här den omständigheten, att förutsättningarna ofta fattas för en objektiv och sorgfällig undersökning, huruvida det hot, som vid ett visst tillfälle verkligen kan ha öfvats, varit af så allvarlig natur, att straff bör följa. Vi skola icke heller glömma, mina herrar, att tonen inom många kretsar mom vårt land stundom kan vara en smula »mustig», helst när såsom vid arbetsinställelser sinnena äro upphetsade, utan att därför något illa behöfver vara menadt. Det är många yttranden, som kunna uppfattas som hot, men som i själfva verket icke äro det.</w:t>
        <w:br/>
        <w:br/>
        <w:t>Genom att detta begrepp »hot» lämnats obestämdt i denna åkarpslag blir det faktisk så, att lagen skärper och ytterligare understryker och befäster den bestämda olikhet, som genom förhållandenas egen natur förefinnes mellan arbetarnas och arbetsgifvarnes förmåga att tillämpa sina metoder i det industriella kriget. Arbetsgifvarna ha i sin makt att på allehanda oåtkomliga sätt både pressa in rekryter i sin organisation och skaffa sig så</w:t>
        <w:br/>
        <w:br/>
        <w:t>kallade strejkbrytare. Man har till och med fått se dessa »arbetsvilliga» föras genom leder af polismän och annan bevakning till arbetsplatserna. Men nog är det obilligt att med en sväfvande” och försåtlig lag hindra de i orten bosatta arbetarna ifrån att till denna importerade arbetskraft, som ofta icke har en aning om, att där pågår en arbetsinställelse, än mindre om dess orsaker, lämna upplysningar härom och rikta en uppmaning att icke blanda sig i saken. Det är vidare att märka, att om arbetarna vilja förmå sina klassbröder att ingå i organisationen, så kunna de icke såsom arbetsgifvarna sitta på ett kontor och utfärda bjudningsbref, utan de måste gå ut på gator och gränder och nödga dem att komma in. Detta kallas för »hot», äfvenså allvarliga uppmaningar att de skola ställa sig solidariska, såsom den enda hjälpen, såsom den enda räddningen. För min del vågar jag säga, att lika visst som arbetarnes organisationer äro att anse såsom grundstockar i samhällsbyggnaden, lika visst är denna åkarpslags sjuka punkt om försök till tvång genom ett i lagen icke närmare preciseradt hot att betrakta som en frätande mask i dessa samhällets grundvalar och måste tagas bort. Jag vågar därför tro, att hvarje lagstiftning på detta område vore i afsevärd mån förfelad, om den icke rörde vid denna sjuka punkt, och hur tacksam jag än är mot herr Thyrén för allt hvad han i denna fråga gjort, har jag icke kunnat biträda hans motion, bland annat af det skälet att han icke rört vid denna sjuka punkt. Men detta tycker jag för min del är det betänkligaste, och det är detta, som vi på något sätt, mina herrar, måste ordna, ty såvidt jag kan förstå, är det där den sjuka punkten sitter.</w:t>
        <w:br/>
        <w:br/>
        <w:t>Emellertid skall det villigt erkännas, att herr Thyréns motion innebär väsentliga fördelar. Jag har redan sagt det och vill ånyo upprepa det. Först och främst inskränker den häktningsrätten, därigenom att straffskalan blir lindrad. Det kommer icke längre att gå för sig för en åklagare att som hittills skett bara hugga folk och häkta dem, för att man sedan skall få höra, huru domstolen frikänner och säger, att den Häktade ingenting brottsligt gjort. Det blir ett slut med denna trafik, och det är ju en väsentlig förbättring.</w:t>
        <w:br/>
        <w:br/>
        <w:t>Nu tycker jag emellertid också, att dessa fördelar, som herr Thyrén vill skaffa oss, komma att köpas alltför dyrt. Ty först och främst ha vi här denna af herr Thyrén föreslagna allmänna kriminalisering af försöksbrotten, som kommer att medföra konsekvenser, hvilka vi icke ens tillnärmelsevis kunna beräkna, och vidare tycker jag det vara mycket betänkligt, om Riksdagen så att säga skulle gifva en handpenning på, att en blifvande straffrättslagstiftning skall ställas på den grunden, att den skall straffa försök öfver hufvud taget. Det tror jag vore ett mycket betänkligt uttalande, och fastän det blott rör en enda punkt i lagen, skulle det i alla fall gifva en slags sanktion åt denna uppfattning. Jag</w:t>
        <w:br/>
        <w:br/>
        <w:t>tror för min del icke, att vår blifvande straffrättslagstiftning kommer att ställa sig på den grunden, att den gör en generell kriminalisering af försöket. Jag kan icke finna, att det öfverensstämmer med vår historiska utveckling i denna punkt. Det kommer nog heller icke att ske, och jag varnar för att beträda den vägen.</w:t>
        <w:br/>
        <w:br/>
        <w:t xml:space="preserve">Men jag har äfven en annan väsentlig anmärkning mot herr Thyréns förslag, och det är mot hans konstruktion af åtalsrätten. Herr Thyrén har föreslagit, att alla brott enligt 22 paragrafen, således både det fullbordade tvånget och försöket, skola lyda under allmänt åtal, oberoende af målsägandens angifvelse. Oafsedt att en dylik anordning skulle öppna möjligheter för åklagaremakten att ingripa i privatlifvet på ett sätt, som blefve åtminstone för våra förhållanden alldeles revolutionerande, så ger redan en flyktig granskning af ifrågavarande kapitel i strafflagen vid handen, att 24 paragrafen enligt dess af herr Thyrén föreslagna lydelse skulle komma i uppenbar strid mot $ 16 i samma kapitel. Där stadgas nämligen, att våldtäktsbrott ej må åtalas af allmän åklagare, om icke </w:t>
      </w:r>
      <w:r>
        <w:rPr>
          <w:b/>
        </w:rPr>
        <w:t>kvinnan¹</w:t>
      </w:r>
      <w:r>
        <w:rPr>
          <w:b w:val="0"/>
        </w:rPr>
        <w:t xml:space="preserve"> dött af brottet, eller det af </w:t>
      </w:r>
      <w:r>
        <w:rPr>
          <w:b/>
        </w:rPr>
        <w:t>henne²</w:t>
      </w:r>
      <w:r>
        <w:rPr>
          <w:b w:val="0"/>
        </w:rPr>
        <w:t xml:space="preserve"> eller </w:t>
      </w:r>
      <w:r>
        <w:rPr>
          <w:b/>
        </w:rPr>
        <w:t>hennes²</w:t>
      </w:r>
      <w:r>
        <w:rPr>
          <w:b w:val="0"/>
        </w:rPr>
        <w:t xml:space="preserve"> målsman anges till sådant åtal. Helt naturligt har lagstiftaren velat bespara den </w:t>
      </w:r>
      <w:r>
        <w:rPr>
          <w:b/>
        </w:rPr>
        <w:t>kvinna¹</w:t>
      </w:r>
      <w:r>
        <w:rPr>
          <w:b w:val="0"/>
        </w:rPr>
        <w:t xml:space="preserve">, som blifvit utsatt för ett dylikt brott, det ytterligare lidande, som offentliggörandet af </w:t>
      </w:r>
      <w:r>
        <w:rPr>
          <w:b/>
        </w:rPr>
        <w:t>hennes²</w:t>
      </w:r>
      <w:r>
        <w:rPr>
          <w:b w:val="0"/>
        </w:rPr>
        <w:t xml:space="preserve"> iråkade olycka skulle tillfoga </w:t>
      </w:r>
      <w:r>
        <w:rPr>
          <w:b/>
        </w:rPr>
        <w:t>henne²</w:t>
      </w:r>
      <w:r>
        <w:rPr>
          <w:b w:val="0"/>
        </w:rPr>
        <w:t xml:space="preserve">. Men ett mot </w:t>
      </w:r>
      <w:r>
        <w:rPr>
          <w:b/>
        </w:rPr>
        <w:t>kvinna¹</w:t>
      </w:r>
      <w:r>
        <w:rPr>
          <w:b w:val="0"/>
        </w:rPr>
        <w:t xml:space="preserve"> föröfvadt nesligt våld, som icke kan rubriceras som våldtäckt eller försök därtill, utan faller under 22 paragrafen, skall däremot enligt herr Thyréns förslag kunna, oberoende af </w:t>
      </w:r>
      <w:r>
        <w:rPr>
          <w:b/>
        </w:rPr>
        <w:t>hennes²</w:t>
      </w:r>
      <w:r>
        <w:rPr>
          <w:b w:val="0"/>
        </w:rPr>
        <w:t xml:space="preserve"> angifvelse, dragas af allmän åklagare under domstol. Det synes egendomligt, om </w:t>
      </w:r>
      <w:r>
        <w:rPr>
          <w:b/>
        </w:rPr>
        <w:t>kvinnans¹</w:t>
      </w:r>
      <w:r>
        <w:rPr>
          <w:b w:val="0"/>
        </w:rPr>
        <w:t xml:space="preserve"> blygsamhet skall mindre respekteras i det ena fallet än i det andra.</w:t>
        <w:br/>
        <w:br/>
        <w:t>Jag vill också erinra kammaren om, att denna fråga var uppe här i kammaren år 1892. Jag vill icke trötta herrarne med en beskrifning på hur det gick till, nog af, det var fråga om att på detta sätt ordna åtalsrätten, men kammaren ville icke vara med härom, utan ansåg det vara farligt, och att det skulle leda till oöfverskådliga konsekvenser. Jag tror icke, att uppfattningen i den punkten kan ha förändrat sig.</w:t>
        <w:br/>
        <w:br/>
        <w:t>Jag har redan sagt, att den socialdemokratiska motionen, hur stora sympatier jag för min del än hyser för densamma, omöjligt synes kunna komma fram såsom frågan nu ligger. Vi få taga hvad vi kunna få, och då blir frågan denna: Ar det icke bättre att genom ett bifall till den liberala reservationen göra ett slut på åkarpslagens offerväsen än att icke göra någonting? År det icke bättre att peka på, att vi kunna gå den vägen, än att för en, jag vågar säga, vacker dröm låta det hela falla?</w:t>
        <w:br/>
        <w:br/>
        <w:t>Det är därför, som jag för min del skulle vilja be herrarna att taga den liberala reservationen i välvilligt öfvervägande. Den håller en medelväg mellan herr Thyréns och socialdemokratiska partiets förslag, så att med straff skulle beläggas allenast sådant</w:t>
        <w:br/>
        <w:br/>
        <w:t>försök till tvång, som tagit formen af redan i sig själft straff- Om bart hot eller våld, på samma gång bestämmelserna om åtalsrätändrad lydelse ten återföres till sin ursprungliga lydelse och straffsatsen regleras ed RR Pi Mi i enlighet med herr Thyréns förslag. strafflagen. Den talare som kommer efter mig, är densamme, som för några = (Forts.) dagar sedan öppnade den stora debatten i pansarbåtsfrågan. Han erinrade oss då om ett yttrande af Gustaf II Adolf: »Endräkt i landet och en stark flotta, och ingen skall oss antasta.&gt; Högern har nu velat skaffa oss en stark flotta — i hvad mån den tanken skall bli realiserad tillåter jag mig dock icke att i detta sammanhang gå in på. Men det vore kärt, om samma höger nu i afton ville visa, att den äfven är med om att skaffa endräkt i landet. Ty, mina herrar, jag tror icke att vi få riktig frid här, förrän åkarpslagen blifvit antingen upphäfd eller åtminstone omarbetad så, att den icke längre kan med fog stämplas som en klasslag. Jag ber att få yrka bifall till liberalernas reservation.</w:t>
      </w:r>
    </w:p>
    <w:p>
      <w:pPr>
        <w:pStyle w:val="Heading2"/>
      </w:pPr>
      <w:r>
        <w:t>2. Johan Thyren (Utan partibeteckning, man)</w:t>
      </w:r>
    </w:p>
    <w:p>
      <w:r>
        <w:rPr>
          <w:b w:val="0"/>
        </w:rPr>
        <w:t>Herr talman, mina herrar! Den förste ärade talaren har redan påpekat något, som för öfrigt ligger i öppen dag för hvar och en, som sett på utskottets utlåtande, nämligen att frågan numera är så pass komplicerad, att det utom min motion föreligger icke mindre än tre stycken linjer: högerns linje, om jag så får säga, representerad af utskottsmajoriteten, som håller på status quo och tycker, att det är bra som det är, vidare den liberala reservationen, som nyss blifvit motiverad af den siste ärade talaren, och slutligen den socialdemokratiska motionen, som vi känna till förut och som fordrar så att säga status ante bellum, eller med andra ord vill föra tillbaka förhållandena, sådana de voro, innan tvisten började. Utom dessa tre linjer och min motion har det i Första kammaren, som herrarna väl känna till, åtminstone af tidningsreferaten, framställts ett yrkande, innebärande en annan ändring i min motion, än den som nu föreslagits af de liberala reservanterna. — Jag skall komma till denna sistnämnda ståndpunkt sedan. — Under sådana förhållanden har jag icke annat att göra än att taga de olika ståndpunkterna linje efter linje och se efter hvad som kan vara att säga om hvar och en för sig.</w:t>
        <w:br/>
        <w:br/>
        <w:t>Jag tillåter mig då att börja med högerns, d. v. s. utskottsmajoritetens linje, som framställer fordran på status quo. Det är på sid. 3, 9, 10 i utskottets betänkande, som denna ståndpunkt motiveras. Såvidt jag kunnat finna ut, ha icke några bestämda skäl af utskottet anförts. Utskottet kommer på sidan 8 med den reflexionen, att det »från motionärens egen utgångspunkt knappast synes mer tilltalande att, med oförändradt bibehållande i öfrigt af sagda princip, gifva detta undantag den större omfattning, som af honom förordas», d. v. s. utskottet jämför å ena sidan förhållandena sådana de äro nu — nämligen att, ehuru man i regel icke straffar för försök till tvång,</w:t>
        <w:br/>
        <w:br/>
        <w:t>gör man det dock särskildt i ett fall, då det är strejkande, som vilja tvinga strejkbrytare eller arbetsvilliga — och å andra sidan möjligheten att straffa alla försök till tvång. Utskottet säger nu, att det ena är lika litet »tilltalande» som det andra. Ja, hvad som synes mer eller mindre tilltalande är ju en smaksak, men jag kan icke hjälpa, att utskottets smak synes mig egendomlig. Om strejkande arbetare alldeles särskildt straffas för att de vilja tvinga arbetsvilliga att upphöra med arbetet, under det att inga andra människor straffas, om de vilja tvinga någon till något hvad som helst, så är det väl dock något annat, än om vi ha ett brott i strafflagen, som straffas vid försök, under det man vid en jämförelse med andra brott skulle vänta att det lämnats utan straff. Det är väl ganska stor skillnad, om man på ett enstaka brottsområde går ned under den vanliga straffbarhetsgränsen, men dock straffar inom hela området, än om jag inom ett gifvet område plockar ut några bestämda grupper af människor och säger, att de men inga andra skola straffas. Detta är lättare att förstå, om vi taga ett bestämdt exempel, och jag kan då ansluta mig till den reflexion, som gjorts i den förste ärade reservantens motivering, en reflexion, som utan tvifvel är fullkomligt riktig. Låt oss antaga, att några strejkande arbetare försöka att tvinga en strejkbrytare till att slå ihjäl arbetsgifvaren — icke till att strejka utan till att slå ihjäl arbetsgifvaren. Ja, de straffas icke; de komma icke under denna bestämmelse och heller icke under någon annan bestämmelse. Jag må fråga, om icke detta, äfven om man ser det från den synpunkten att det gäller strejkande arbetare, är något rätt litet tilltalande med denna bestämmelse. Och det mindre tilltalande i detta ökas väl, om vi gå ett steg längre och besinna, att hvilken person som helst, blott han icke är den strejkande som vill tvinga arbetsvilliga, kan göra hvilka försök till brott som helst, utan att komma in under strafflagen, såvidt icke i försöket ligger ett särskildt brott, t. ex. misshandel. Det är väl en rätt besynnerlig, fullkomligt enastående brist på konsekvens, som man ej lär kunna finna maken till i någon lag, men som sagdt, det»tilltalande» är en smaksak. För mig synes denna bestämmelse mycket litet tilltalande. Vi skola dessutom komma ihåg, att om man analyserar den, så finna vi först och främst den egendomligheten, att vid ett så pass litet brott försöksstraff öfver hufvud taget inträdt. Men därutöfver tillkommer det plus i besynnerlighet, att man plockar ut några personer och lämnar alla andra. D.v.s. det »underliga», som skulle kunna sägas finnas i min motion — att försöksstraff inträder vid ett så pass ringa brott — finnes redan nu och dessutom ett högst betydligt plus, nämligen att man plockar ut några individer och lämnar andra utanför. Utskottet säger vidare på sidan 9 att »en af de tyngst vägande anmärkningarna» mot nuvarande bestämmelser är »den förmenta svårigheten» att bedöma hotet. Ja, det händer ju någon gång, att ordet är en ofrivillig spegelbild för tanken, och så torde äfven fallet vara här. Den »förmenta svårigheten», som är en af de »tyngst vä-</w:t>
        <w:br/>
        <w:br/>
        <w:t>gande» af de gjorda anmärkningarna, är den förment, eller väger Om</w:t>
        <w:br/>
        <w:br/>
        <w:t>den verkligen något? Jag tror, att om man tänker sig närmare in NT</w:t>
        <w:br/>
        <w:br/>
        <w:t>häri, skall det visa sig, att utskottet hade gjort klokast i att stanna od och Uu ss</w:t>
        <w:br/>
        <w:br/>
        <w:t>vid att svårigheten är förment. Och just därför att den är förment, strafflagen.</w:t>
        <w:br/>
        <w:br/>
        <w:t>så väger den inte så synnerligen tungt. (Forts.) Att denna svårighet verkligen är förment, torde framgå ganska</w:t>
        <w:br/>
        <w:br/>
        <w:t>tydligt af hvad jag redan under fjolårets debatt yttrade gentemot</w:t>
        <w:br/>
        <w:br/>
        <w:t>en af de nuvarande reservanterna. Den omständigheten, huruvida</w:t>
        <w:br/>
        <w:br/>
        <w:t>jag lyckats tvinga någon till hvad jag vill tvinga honom till, kan</w:t>
        <w:br/>
        <w:br/>
        <w:t>1 och för sig icke göra det hvarken lättare eller svårare att afgöra, huru-</w:t>
        <w:br/>
        <w:br/>
        <w:t>vida hot fanns. Jag försöker tvinga en arbetare till arbetsinställelse,</w:t>
        <w:br/>
        <w:br/>
        <w:t>och han lyder mig den ena gången, men den andra gången lyder</w:t>
        <w:br/>
        <w:br/>
        <w:t>han mig icke. Domstolen har i själfva verket samma svårighet i</w:t>
        <w:br/>
        <w:br/>
        <w:t>båda dessa fall att afgöra, huruvida det var mitt hot eller något annat,</w:t>
        <w:br/>
        <w:br/>
        <w:t>som förmådde honom att lyda. Domaren måste, om han skall bära</w:t>
        <w:br/>
        <w:br/>
        <w:t>sig riktigt åt, i båda fallen se till, huru saken låg. Huru mycket</w:t>
        <w:br/>
        <w:br/>
        <w:t>kunde han påverkas af mitt hot? Hvilka andra motiv kunde han</w:t>
        <w:br/>
        <w:br/>
        <w:t>hafva haft? Ja, därom måste domaren bilda sig en åsikt för att kunna</w:t>
        <w:br/>
        <w:br/>
        <w:t>bedöma, huru mycket mitt hot vägde. Det är enligt min mening full-</w:t>
        <w:br/>
        <w:br/>
        <w:t>komligt oriktigt att påstå, att den omständigheten, huruvida detta</w:t>
        <w:br/>
        <w:br/>
        <w:t>hot verkat eller icke verkat, skulle vara utaf afgörande betydelse för</w:t>
        <w:br/>
        <w:br/>
        <w:t>bevisningen. Det är visserligen svårt att säga, huru hot skall vara</w:t>
        <w:br/>
        <w:br/>
        <w:t>beskaffadt, ja, det är kanske omöjligt att draga upp några bestämda</w:t>
        <w:br/>
        <w:br/>
        <w:t>linjer. Men den svårigheten är till punkt och pricka lika stor vid</w:t>
        <w:br/>
        <w:br/>
        <w:t>det fullbordade brottet som vid försöket. Eftersom denna sida</w:t>
        <w:br/>
        <w:br/>
        <w:t>af saken blifvit särskildt accentuerad, skall jag be att få tillägga den</w:t>
        <w:br/>
        <w:br/>
        <w:t>upplysningen, att om man går till en gammal strafflag, såsom +t. ex.</w:t>
        <w:br/>
        <w:br/>
        <w:t>Österrikes från 1852, så finner man där ett förtvifladt försök att</w:t>
        <w:br/>
        <w:br/>
        <w:t>reda upp frågan om när hot föreligger. Därom gjordes ganska långa</w:t>
        <w:br/>
        <w:br/>
        <w:t>utredningar på den tiden, men man har sedan funnit, att det icke</w:t>
        <w:br/>
        <w:br/>
        <w:t>går; och om vi se på de sista strafflagsförslagen, som äro produkten</w:t>
        <w:br/>
        <w:br/>
        <w:t>af flera årtiondens energiskt arbete af både teoretici och praktici</w:t>
        <w:br/>
        <w:br/>
        <w:t>på området, så finna vi, att de här alldeles kapitulerat. Så säger</w:t>
        <w:br/>
        <w:br/>
        <w:t>det tyska förslaget af 1909 uttryckligen: »Wer in rechtswidriger</w:t>
        <w:br/>
        <w:br/>
        <w:t>Absicht einen anderen durch Gewalt oder Drohung zu einer Hand-</w:t>
        <w:br/>
        <w:br/>
        <w:t>lung, Duldung oder Unterlassung nötigt, etc.&gt; Det heter »Drohung»,</w:t>
        <w:br/>
        <w:br/>
        <w:t>alltså hot, ingenting annat. Och så fortsätter paragrafen: »Der</w:t>
        <w:br/>
        <w:br/>
        <w:t>Versuch ist strafbar.&gt; Precis på samma sätt är det enligt det schwei-</w:t>
        <w:br/>
        <w:br/>
        <w:t>ziska förslaget af 1908: »Celui qui, en usant de violence ou de menace</w:t>
        <w:br/>
        <w:br/>
        <w:t>grave», d. v. s. förslaget har bestämt hotet genom adjektivet »grave».</w:t>
        <w:br/>
        <w:br/>
        <w:t>Det skall således vara ett allvarligt hot, liksom hos oss i 415 kap.</w:t>
        <w:br/>
        <w:br/>
        <w:t>23 $. Man har icke alls försökt draga upp någon annan linje. Man</w:t>
        <w:br/>
        <w:br/>
        <w:t>har kapitulerat på grund däraf att det helt enkelt är omöjligt att finna</w:t>
        <w:br/>
        <w:br/>
        <w:t>någon hållbar linje. Man får här, som så ofta annars, öfverlämna</w:t>
        <w:br/>
        <w:br/>
        <w:t>bedömandet åt domarens förstånd; han och ingen annan kan i det</w:t>
        <w:br/>
        <w:br/>
        <w:t>särskilda fallet afgöra, om hotet är sådant det skall vara för att</w:t>
        <w:br/>
        <w:br/>
        <w:t>blifva straffbart.</w:t>
        <w:br/>
        <w:br/>
        <w:t>Vill man nu svara mig, att »psykologiska» brottsbegrepp, i hvilka</w:t>
        <w:br/>
        <w:br/>
        <w:t>ändrad lydelse 4, ex. hot ingår, en gång för alla äro omöjliga och att man icke får</w:t>
        <w:br/>
        <w:br/>
        <w:t>” göra sådana handlingar till brott, så tror jag, att man här med mera skäl än annars kan hänvisa till det »lefvande lifvet». Vi kunna icke vara af med ett sådant begrepp som hot, och kan det icke i lagen närmare bestämmas, så måste afgörandet läggas i domarens hand.</w:t>
        <w:br/>
        <w:br/>
        <w:t>Jag vill taga ett annat fall till jämförelse. Något, som är än sSvårare än att draga upp linjen för hot, är att göra det för begreppet villfarelse eller narrande, sådant som det förekommer vid bedrägeribrotten. Men icke tror väl någon af herrarna, att man skulle kunna reformera bedrägeribrotten genom att exakt reda ut, hvari denna villfarelse skulle bestå och begränsa den på sådant sätt, att det icke funnes möjlighet för domaren att taga miste. Om domaren vill gå mycket långt och har fria händer, kan han komma därhän att straffa låt oss säga hvarje finurlighet i affärer, och det skulle mycket väl kunna tänkas, att man från vissa affärshåll, där man icke är så nogräknad, skulle invända mot ett strafflagsförslag, som uppställde det vanliga bedrägeribrottet: »om Ni skrifver på det sättet, blir det icke tillåtet att utöfva någon finurlighet, och hvarenda smart man blir ju fast.» Ja, det är möjligt, att man säger så, men då måste det svaras där som i detta fall, att den saken måste läggas i domarens hand, att det icke går att draga upp en bestämd gräns. Jag skall komma tillbaka till detta ämne, när jag hinner till den liberala eller radikala linjen och dess sätt att söka lösa denna fråga.</w:t>
        <w:br/>
        <w:br/>
        <w:t xml:space="preserve">Vidare yttrar sig utskottet på sidan 9 om åtalsfrågan. Jag skall, innan jag går in därpå, rent i förbigående anmärka gentemot den siste ärade talaren, att den i ett särskildt fall förekommande motsägelse, som han anförde, nämligen i fråga om våldtäktsåtalet, torde kunna försvaras därmed, att det är för en </w:t>
      </w:r>
      <w:r>
        <w:rPr>
          <w:b/>
        </w:rPr>
        <w:t>kvinna¹</w:t>
      </w:r>
      <w:r>
        <w:rPr>
          <w:b w:val="0"/>
        </w:rPr>
        <w:t xml:space="preserve"> en rätt stor skillnad på att det kommer i dagen, att </w:t>
      </w:r>
      <w:r>
        <w:rPr>
          <w:b/>
        </w:rPr>
        <w:t>hon²</w:t>
      </w:r>
      <w:r>
        <w:rPr>
          <w:b w:val="0"/>
        </w:rPr>
        <w:t xml:space="preserve"> blifvit våldtagen eller åtminstone föremål för våldtäktsförsök å ena sidan och å andra sidan föremål för en handling, som må vara tämligen grav, men dock icke sträcker sig till nyssnämnda brott.</w:t>
        <w:br/>
        <w:br/>
        <w:t>Emellertid åberopar utskottet till stöd för sin ståndpunkt öfverst på sidan 10 bland annat Norges, Danmarks och Finlands strafflagar. Det stödet är af mycket tvifvelaktig natur. Danmark och Finland äro för utskottet synnerligen olämpliga att åberopa, ty där finnes alldeles intet s. k. åkarpsundantag, som vi ha, med allmänt åtal för tvingande af arbetsvilliga, utan där är det enskildt (egentligen s. k. privatoffentligt) åtal öfver hela linjen. Det är något helt annat. Det vill utskottsmajoriteten icke ha, på skäl, som den själf anför på sidan 9, och jag tror ej heller, att man kan gifva sig in därpå. Det är farligt att göra åtalet enskildt i sådana fall som dessa, sådana som brotten här äro beskaffade. Jag skall emellertid icke gå närmare in härpå i detta sammanhang. "För öfrigt äro Danmarks och Finlands strafflagar ingalunda moderna. Danmarks är af 1866 och Finlands visserligen af 1889, men den utgör,</w:t>
        <w:br/>
        <w:br/>
        <w:t>Med Norges strafflag är det däremot något helt annat. Den aj te NR är en modern strafflag och anses allmänt såsom en af de bästa och sirafflagen. mest fullkomliga som finnas. Den är emellertid ännu vida olämp- = (Forts.) ligare för utskottet att åberopa än de andra. Hade utskottet velat lösa den svårighet, som här förefinnes, hade just den norska strafflagen bättre än någon annan kunnat visa vägen, ty den straffar försöket öfver hela linjen, precis såsom jag föreslagit, och den har undgått svårigheten i fråga om åtalsrätten på det sättet, att den gör åtalet enskildt i regel, men undantager alla fall, där »allmänna hänsyn kräfva allmänt åtal». Vill utskottet åberopa sig på Norge, borde det gjort så, som Norges strafflag gör; skulle det åter åberopa sig på Danmark och Finland, skulle det hela ställas under enskildt åtal. De stöden äro sålunda mer än bräckliga.</w:t>
        <w:br/>
        <w:br/>
        <w:t>Då utskottet gifvit sig in på en jämförelse med främmande rätt, hade man kunnat vänta, att det sett på den verkligt moderna lagstiftningen, särskildt på de tre nyaste lagförslagen, som ha så ofantligt mycket både teori och praxis bakom sig. Jämföra vi dessa tre lagförslag, det schweiziska af 1898, det tyska och österrikiska, båda af 1899, så intaga de i denna åtalsfråga precis den ståndpunkt, som jag uttalat. De göra åtalet allmänt öfver hela linjen. Jag skall emellertid icke här inlåta mig på att närmare motivera denna moderna ståndpunkt, ty jag anser, att det af rent taktiska skäl för mig finnes anledning att släppa denna fordran, emedan det antagligen icke finnes någon utsikt att i Första kammaren vinna gehör, äfven om jag här skulle kunna vinna gehör för densamma. Det bästa torde nog vara att beträffande åtalsrätten slå in på den reservation, som framkommit i Första kammaren och som närmast kan betecknas såsom den norska linjen, alltså behåller enskildt (privatoffentligt) åtal, men gör det publikt, där hänsyn till allmän säkerhet och ordning det kräfva. Jag skall komma tillbaka till denna sak senare.</w:t>
        <w:br/>
        <w:br/>
        <w:t>Slutligen har utskottet anfört på sidan 10, att »det objektiva moment, som betecknar skiljaktigheten mellan den afsedda effektens inträdande och dess uteblifvande, icke kan tillerkännas samma betydelse, som merendels eljest inom straffrätten ansetts böra ske.» Och likväl säger utskottet i slutet på samma stycke, att »straffminimum i fråga om hithörande brott är satt så lågt, att straffarbete ej torde ådömas, om ej synnerligen försvårande omständigheter föreligga.&gt; Huru dessa två tankar skola bringas att gå ihop, är rätt svårt att förstå. Först säges det, att försöket här står lika med det fullbordade brottet. Detta är nämligen innebörden af hvad som står först. Utskottet menar, att i detta särskilda fall skiljer sig försöket icke i straffbarhet från det fullbordade brottet och att man därför bör bibehålla straffarbetet. Men så heter det i slutet af samma stycke, att straffarbete ej ådömes, om icke synnerligen försvårande omständigheter föreliggga. Då vill jag fråga: Är det</w:t>
        <w:br/>
        <w:br/>
        <w:t>utskottets mening, att detta också gäller om fullbordadt brott? Hvar-</w:t>
        <w:br/>
        <w:br/>
        <w:t>3 $, där det talas om att vid åverkan, när synnerligen försvårande omständigheter föreligga, straffarbete kan ådömas. I så fall hade utskottet upptäckt en glömska eller ett slarf i lagen och hade då naturligtvis bort föreslå ändring på denna punkt. Uppenbarligen ligger saken icke så. Hvad är då den verkliga anledningen, bakom kulisserna, till att straffarbete kommit att ingå i straffskalan och att man så envist fasthåller därvid? Ja, mina herrar, det tjänar ingenting till att söka dölja den. För hvar och en, som är inne i dessa förhållanden, kan svaret bli blott ett: Orsaken till att straffarbete ingår i straffskalan är icke den, att man anser försöket objektivt likvärdigt med det fullbordade brottet, utan orsaken är helt enkelt den, att man behöfver detta straff för häktningsbefogenheten, för att den skall bli sådan, som enligt lag blir, när straffarbete ingår i straffskalan. Här är den verkliga anledningen. Jag tillåter mig säga detta alldeles öppet, ty det finnes ingen, som förstår denna sak, som icke vet det, och äfven om ett sådant skäl icke kan anföras i ett utskottsutlåtande, så finnes det i alla fall.</w:t>
        <w:br/>
        <w:br/>
        <w:t>Här måste vi stanna, ty här är den verkligt »sjuka punkten», om vi nu skola tala om sjuka punkter. Jag vill naturligtvis icke frånkänna detta sätt att se saken hvarje berättigande. Man resonerar rimligtvis så: det utbryter en stor strejk eller förklaras en stor lockout. Det blir förtviflan och raseri; lidelserna komma i spel. Där framträder en del bråkmakare, som se ut att ämna göra både det ena och det andra och till att begynna med börja de påverka s. k. strejkbrytare. Hvad skall då samhällsmakten göra? Skall den låta dem hållas, ända tills det föreligger svåra och omfattande brott? Skola de få gå lösa efter vanliga grunder? Nej, säger man, under sådana förhållanden skulle man egentligen förklara belägringstillstånd eller något dylikt för att vara säker, men man kan kanske praktiskt hjälpa sig med det lilla, ett litet allra minsta belägringstillstånd, och det består i, att man skaffar sig fria händer att häkta dem, så snart de börja bråka. Ja, det där låter nog mycket praktiskt, och ur, så att säga, polissynpunkt, om det vore den, som regerade lagutskottet, kunde jag fullkomligt förstå, att man resonerade på detta sätt. Om man blott accentuerade bekvämligheten och säkerheten och icke såge på något annat än dem, vill jag icke neka till, att det är ett mycket enkelt medel att ha en paragraf i strafflagen skrifven så, att hvar och en, som det ringaste visade sig orolig, genast kunde sättas in i säkerhet, äfven om det sedan skulle visa sig, såsom herr Lindqvists siffror tycktes angifva, att det öfverväldigande antalet af dessa, som häktas, till slut bli förklarade icke skyldiga till det brott, för hvilket de häktats. Ja, det är ett mycket bekvämt medel, men jag behöfver väl knappast påpeka för kammarens ärade ledamöter, hur farligt detta medel å andra sidan är. Ingen kan bestrida, att det kan finnas fall, där administrationen måste vara tämligen</w:t>
        <w:br/>
        <w:br/>
        <w:t>hänsynslös, icke alltför blödig och icke alltför mycket tänka på de Om »mänskliga rättigheterna», ty det skulle kunna hända, att en sådan IR EA ag blödighet vore farlig och droge mycket svåra olyckor med sig. Det”. 24 $$ kan där kanske ibland behöfvas, att det gripes in med hård hand, strafflagen. men då skall det ske administrativt och under administrativt ansvar. (Forts) Det kan icke hjälpas, att medborgarne få rätt ofta säga sig, att det »lefvande lifvet», som reservanterna med förkärlek tala om, för med sig nödvändigheten att utsätta medborgarne för dylika risker och hårdheter. Men bakom allt detta administrativa godtycke, det må vara mer eller mindre befogadt, bör lagen, den verkliga lagen, stå pålitlig och rättfärdig och höjd öfver allt hvad godtycke heter. Den måste vara den fasta klippa, till hvilken alla kunna lita sig, strejkande och strejkbrytare, arbetare och arbetsgifvare, vänster och höger. Lagen får aldrig misstänkas; administrationen kommer stundom att misstänkas, det kan icke hjälpas, den kan aldrig hålla så orubblig kurs, men i själfva lagen får man aldrig släppa in dessa synpunkter af godtycke och tillfällighet. Därför, mina herrar, vill jag uppmana hvar och en — och jag talar nu hufvudsakligen till herrarne på högersidan, som i denna del kunde tänkas behöfva en anmaning —- att väl öfverväga, om vinsten af denna i lagen själf uppställda häktningsbefogenhet verkligen är värd den fara, som ligger i att rubba tilltron till lagens fulla rättfärdighet; det gör den enligt min mening. Nej, den får icke vinnas på bekostnad af tilliten till lagen. Jag instämmer alldeles obetingadt med den siste ärade talaren däri, att de berömda orden af Gustaf II Adolf om inre endräkt och en stark flotta här äro fullkomligt tillämpliga, och lika bestämdt som jag häromdagen höll på denna starka flotta, fullt ut lika bestämdt och litet till, om det så skall vara, håller jag på den inre endräkten och på nödvändigheten af att först och främst undvika att skapa sådana lagar, som kunna befaras vålla tvedräkt, och vidare efter förmåga söka undanröja sådana förefintliga lagar, som redan visat sig skapa tvedräkt. Den tvedräkt, som en sådan lag skapar genom sin blotta existens, kan icke aflägset uppvägas genom de fördelar, som den ur polissynpunkt skulle medföra. Jag tvekar således icke att öppet uttala, att jag för min del anser 'det beslut Förstakammarmajoriteten fattat häromdagen för ett synnerligen betänkligt misstag, och jag vill tillåta mig att vädja till de ärade ledamöterna af högern att göra hvad de kunna för att göra misstaget godt igen. En del torde kunna repareras, om Andra kammaren i den punkten ändrar ståndpunkt. Jag fördöljer icke på minsta sätt, att häktningsbefogenheten förloras med antagande af min motion, men straffbarheten står kvar inom rimliga gränser, under det, i trots af hvad herrar Lindqvist och Åkerman anfört, det verkliga klassmärket faller bort.</w:t>
        <w:br/>
        <w:br/>
        <w:t>Så mycket om den första linjen. Jag kommer nu till linjen nr 2, nämligen den radikal-liberala. De ärade reservanter, som följa denna linje, ha framställt ett positivt förslag, och jag skall tillåta mig att något närmare skärskåda, i hvad mån det är antagligt. Allra</w:t>
        <w:br/>
        <w:br/>
        <w:t>först ber jag herrarna att icke misstycka, om jag gör en realpolitisk anmärkning. Det är visserligen sant, att vi böra icke besluta annat, än hvad vi anse vara det absolut rätta, helst om vi ha någon rimlig utsikt att få denna ståndpunkt igenom inom någon ändlig tid. Men å andra sidan finnes det ett gammalt bekant och mycket sant franskt ordspråk, som säger: »Le meilleur est Vennemi du bon», det allra bästa är fiende till det goda, eller med andra ord, man får taga hvad man kan få. Och vi lära icke ha stor utsikt — äfven om icke andra anmärkningar funnes — att få Första kammaren att inom den närmaste framtiden gå med på förslaget, som dock i själfva verket betyder ett upphäfvande af Åkarpslagen och dess ersättande med en skärpning, för visst fall, af stadgandena i strafflagen 14: 13 och 15: 23.</w:t>
        <w:br/>
        <w:br/>
        <w:t>Således, rent realpolitiskt är det, efter hvad jag kan förstå, mycket liten utsikt att, äfven om det går i Andra kammaren, få något sådant till lag, och då betyder det ju i alla fall, att vi förblifva stående på den punkt, där vi nu stå.</w:t>
        <w:br/>
        <w:br/>
        <w:t>Detta är det ena. Men så kommer jag till andra mera direkta anmärkningar, först och främst det, som helt säkert afhållit hela den moderna lagstiftningen att följa en dylik nära till hands liggande linje. Här betonas så ytterligt starkt den frågan, hvarmed jag tvingar, att man alldeles glömmer den andra frågan, hvartill jag tvingar. Men är det någon reson i att, om jag exempelvis missbrukar min auktoritet öfver en annan människa, försöker allehanda rättsstridiga medel, blott de icke äro straffbara, t. ex. hotar med kontraktsbrott af det ena eller andra slaget, allt detta för att försöka tvinga personen att begå ett svårt brott eller, för att taga ett vanligt fall — en osedlig handling — att jag då under alla omständigheter går fullständigt straffri; ty enligt reservanterna är det ju blott fråga om medlet, men icke om syftet med våldet. Icke går det an att skrifva något sådant. Herr Åkerman har påpekat inkonsekvenserna i det nuvarande systemet, men de falla ännu mera i ögonen, ifall man intager hans egen ståndpunkt. Så snart det användes det allra minsta hot om en liten ärekränkning eller dylikt, då blir jag enligt honom straffbar, hvad än jag vill tvinga till, till och med om jag vill tvinga någon att låta bli att gå på dåliga ställen, således tvinga någon till något nyttigt; det är i alla händelser straffbart. Men om jag genom en rättsstridig handling, dock icke straffbar, vill söka tvinga någon att begå det svåraste brott, så blir jag straffri enligt detta förslag. Det förefaller mig, som om detta borde göra reservanterna själfva betänksamma. Som sagdt, reservationen ser uteslutande på frågan, hvarmed, och glömmer den fullt upp lika viktiga frågan, hvartill jag försöker tvinga.</w:t>
        <w:br/>
        <w:br/>
        <w:t>Emellertid, äfven om man vill söka försvara reservationen mot den nu gjorda anmärkningen, något, som icke så lätt låter sig göra, så innehåller den tekniska fel, som göra den alldeles ohållbar och omöjlig. »Gör man genom våld försök till tvång» — ja, hvad är våld? Jo, våld är naturligtvis närmast allehanda uppsåtliga våldshandlingar enligt det 14 kapitlet, af hvilka emellertid blott 14:13 stadgar</w:t>
        <w:br/>
        <w:br/>
        <w:t>mindre straff, än här säges. Men vidare är våld en fullbordad handling efter samma paragraf, till hvilken reservanterna tillagt sin försöksbestämmelse. Jag vill utföra detta i ett exempel, så att herrarna förstå, huru frågan ligger. Om jag slår armarna om en person och mot hans vilja håller honom fast i några minuter, så är detta en fullbordad handling, det är våld, som går in under 15:22; jag har tvungit honom att »något tåla». Nu säga reservanterna, att om man genom våld försöker tvinga honom till något, så skall man straffas enligt en mindre skala för försök, d. v. s. att om man slår armarna om lifvet och håller honom fast under några minuter för att tvinga honom att tala om något, som han icke vill, då är det hela ett försök. Hade jag icke haft nämnda syfte, så hade våldet utgjort en fullbordad handling enligt 15:22. Huru man vänder detta, så blir det högst besynnerligt, och man kan omöjligen skrifva så, som reservanterna gjort. Jag har ingen anledning att säga reservanterna, huru det vore möjligt att afhjälpa det här misstaget.</w:t>
        <w:br/>
        <w:br/>
        <w:t>Men det finnes en annan anmärkning, som är ännu mera afgörande, och för hvilken det rakt ingenting torde kunna sägas till försvar. Rerservationen inskränker det hot, som ingår i tvångsförsöket till sådant hot, som i 23 $ af detta kapitel omförmäles, nämligen att skriftligen eller muntligen hota med misshandel eller brottslig gärning. Hvart detta leder, finner man genom att vända bladet i lagen och gå öfver till 16 kapitlet, som handlar om ärekränkning. Det vanliga straffet för ärekränkning, när icke särskildt graverande omständigheter föreligga, är enligt 16: 11 högst 200 riksdalers böter. Antag nu, att jag försöker att tvinga en person till någonting, t. ex. till en brottslig eller en osedlig handling. Detta gör jag genom att hota att ärekränka honom, om han ej vill göra det eller det. Ja, här har jag hotat honom med brottslig gärning och försökt med detta hot tvinga honom till något, och där kommer jag under reservanternas straffbestämmelser, och maximum är 2 års fängelse. Hade jag i stället för att hota med ärekränkning verkligen ärekränkt honom ti syfte att tvinga honom till det eller det, (såsom det i dylika fall så synnerligen ofta sker) så hade jag icke kommit under de af reservanterna föreslagna bestämmelserna; tvångsförsöket hade såsom sådant blifvit straffritt och jag hade blifvit straffbar endast för den fullbordade ärekränkningen med högst 200 kronors böter. Däraf kan man lära sig, att om kammaren antager denna bestämmelse, och den per impossibile skulle antagas af Första kammaren, hvilket jag ej tror, så får man i hvarje fall, då man befinner sig i den situation att vilja tvinga någon till att strejka eller låta bli att strejka eller till någonting annat, noga komma ihåg att icke stanna vid att hota med t. ex. ärekränkning, ty då kommer man under 2 års fängelse, utan för all del fortskrida till en fullbordad ärekränkning, ty då blir det högst 200 kronors böter. Och om herrarna vilja göra sig mödan att gå igenom 16 kapitlet paragraf för paragraf, så skola herrarna finna, att detsamma gäller hela vägen: sker gärningen, heter det i 9 $, »å tid, ort eller sätt,</w:t>
        <w:br/>
        <w:br/>
        <w:t>i högst sex månader.&gt; Gör han denna svårare ärekränkning, så</w:t>
        <w:br/>
        <w:br/>
        <w:t>strafflagen. kan det alltså högst bli sex månaders fängelse, hotar han med denna</w:t>
        <w:br/>
        <w:br/>
        <w:t>ärekränkning och icke gör den — allt 7 syfte att tvinga — så blir det högst två års fängelse; och på samma sätt är det ända upp till förtal. Jag skall icke trötta med flere detaljer. Det förhåller sig alldeles på samma sätt, om vi tänka oss andra brott, exempelvis egenmäktigt förfarande enligt 10:20. Begår jag det fulla brottet, så blir det 6 månaders fängelse, hotar jag — allt 1 syfte att tvinga — så blir det 2 år. Äfven här har jag ju ingen anledning att på något sätt hjälpa reservanterna med en omformulering; de må försöka själfva, och då få vi se, om det blir bättre. Men jag tillåter mig säga på förhand, att det ej blir så alldeles lätt att klara den frågan. Och jag vill också nu i detta sammanhang uttala det, att jag hoppas, att icke någon i kammaren — utom förstås herr Kobb, som emellertid för tillfället ej tyckes vara närvarande här — måtte ha den »känslan», att jag »lika lätt», om jag bara ville, kunde försvara reservanternas förslag. Detta vore att totalt öfverskatta mig; det mäktar jag verkligen icke göra.</w:t>
        <w:br/>
        <w:br/>
        <w:t>Jag tillåter mig härmed öfvergå till den tredje linjen, nämligen den socialdemokratiska. Den är mig i sin motivering särskildt betänklig, ity att den synes vilja uppställa en helt annan princip för en blifvande strafflag, än jag anser möjlig att genomföra. Den vill nämligen som regel göra försöket straffritt. Jag talade härom i fjol och gick därvid något in på denna idé, men det var tydligen icke tillräckligt, eftersom den kommit igen lika lifskraftig nu som då. Därför vill jag nu gå litet närmare in på framför allt den frågan, huru försöket nu för närvarande gestaltar sig i vår lag. Jag tror, att herrarna af det socialdemokratiska partiet, som hålla så strängt på sin ståndpunkt, icke gjort själfva den nämnda utgångspunkten fullt klar för sig. Herrarna synas hafva trott, att i vår lag på allvar gäller den forngermanska ståndpunkten, d. v. s. att man i regel icke straffar annat än den verkliga skadan, låt vara att det också förekommer ett eller annat undantag, giftmordförsök och dylikt. Men det ligger på ett helt annat och mera inveckladt sätt, än man föreställer sig. Beträffande t. ex. misshandelsbrotten straffas alla försök till mord, men ej försök till dråp, såsom litet hvar torde ha sig bekant. Men vidare: om Jag t. ex. hytter med en knif mot någon, så är det straffbart, ty det är »resande af lifsfarligt vapen»; om jag åter kastar skedvatten mot min rival för att göra honom fulare, men han böjer sig undan, så att han icke får det i ansiktet, då är det icke straffbart. Hyttande med knif är straffbart, kastande med skedvatten är icke straffbart. Blandar jag gift »för att gifva någon in», så blir det till omväxling straffbart; blotta blandandet är redan i sig straffbart. Öfvergifver jag en person, som jag åtagit mig att ledsaga, ändå att ingen fara var, så är det åter straffbart enligt 14: 32, 34. Vidare:</w:t>
        <w:br/>
        <w:br/>
        <w:t>lämnar jag in en falsk växel i en bank, så är det straffbart i samma ögonblick jag inlämnar den. Skrifver jag ett falskt bref, som jag går med ur hus och i hus och visar för att försöka narra till mig penningar, så är det icke straffbart, ty försök till bedrägeri enligt 22: 1 är icke straffbart. Men om jag vill bedraga på det sättet, att jag lämnar en falsk uppgift för att få en lifförsäkring, så är det åter till omväxling straffbart enligt 22: 2. Stoppar jag en handien främmande mans ficka för att känna efter, om den innehåller något värdt att taga, så är det icke straffbart, om jag ingenting finner, lika litet som det är straffbart, om jag afstår, därför att jag blir störd i mitt förehafvande. Ger jag mig åter in på främmande mark för att jaga harar och skjuter bom eller till och med icke ser några harar, så är det straffbart 0. s. v. i oändlighet. Är det detta brokiga tillstånd, som herrar socialdemokrater vilja behålla?</w:t>
        <w:br/>
        <w:br/>
        <w:t>Saken ligger i själfva verket så, att jag vågar försäkra, att ingen af de ärade ledamöterna, som icke är jurist eller törhända bereder sig till straffrättslig tentamen, skall kunna uppgifva, hvilka sådana fall äro straffbara. Man måste nyss ha tenterat i straffrätt för att med full säkerhet utantill känna alla lagens labyrinter 1 detta fall. Lagbestämmelserna blifva så ytterligt ojämna därigenom att olika brott anses fullbordade på olika tidpunkter och samtidigt försök i regel lämnats straffritt. Stöld anses begången, då man tagit saken. För att man åter skall anses ha gjort sig skyldig till oloflig jakt fordras icke, att man skall ha tagit haren eller hvad villebråd det nu är, utan det är nog, att man är inne och jagar på marken 1 fråga. Växelförfalskning och dylik förfalskning öfverhufvud är straffbar i och med det, att man begagnar de falska papperen. Men för att ett bedrägeribrott skall anses föreligga fordras, att man fått vinst däraf — dock finnas undantag, där detta icke fordras — Det råder ett sådant virrvarr på detta område, att det blir en ren omöjlighet att låta den regelmässiga straffbarhetsgränsen gå mellan försök och fullbordadt brott. Vill man få någon reda i allt detta, har man antingen att vända tillbaka till den verkliga forngermanska tiden, men det är nu för sent, om det ock ur andra synpunkter kunde vara önskvärdt, icke minst i mina ögon, eller ock att följa med den moderna utvecklingen. I det senare fallet kan det icke bli annat än ett generaliserande af försöksbrottet. Jag kan försäkra den senaste ärade talaren, att hvarken han eller jag eller någon annan kan få till stånd någon konsekvens i strafflagen på någon annan linje. Det är helt enkelt omöjligt, sådana förhållandena nu äro. Här anmärktes af herr Lindkvist i dag — och jag kände igen hans anmärkning från i fjol, då han också framställde den, och då han ytterligare blef sekunderad af herr Branting — att äfven med en generalisering dock klassmärket står kvar, ty, sade han, förhållandena ligga annorlunda för arbetsgifvaren än för arbetstagaren i detta fall. Arbetaren är utsatt för frestelse, medan arbetsgifvaren, såsom herr Åkerman framhöll, sitter på sitt kontor och sköter arbetet på långt afstånd.</w:t>
        <w:br/>
        <w:br/>
        <w:t>Han behöfver icke gå ut på gatan för att &gt;»komma till tals&gt; med misshagliga kolleger, han sköter hithörande saker skriftligen, och det är bekvämare. Ja, det är fullkomligt sant, men jag tillåter mig påminna herr Branting om det gamla mycket sanna ordspråket »nimis probas, nihil probas». d. v. s. att man kan bevisa för mycket. Man skulle på ungefär lika goda grunder kunna säga, att tjufnadsbrottet innebure en klassbestämmelse mot proletärerna. Jag tror också, att jag läst i tryck, kanske i Nya Folkviljan, men i alla fall i tryck, den anmärkningen mot det arbete, som jag gaf ut såsom en begynnelse till en strafflagsreform, att så snart man straffar ett brott, betyder det ett klassförfarande, ty, säger man, proletären är tvungen att stjäla eller är ställd i mycket stark frestelse att göra det, medan en kapitalist, som sitter och klipper kuponger, har lätt för att låta bli att stjäla. Det finnes i den meningen ett klassmärke på denna lag, hvilken straffar den människa, som är tvungen eller åtminstone 1 stark frestelse att stjäla, det är mycket sant, men kan någon människa fundera ut ett sätt att komma ifrån det? Jag tillåter mig säga herr Branting och öfriga ärade ledamöter af socialdemokratiska partiet, att hur man än tänker sig detta, lär det icke ens, när Riket kommer, vara möjligt att komma ifrån det, att brott begås hufvudsakligen af människor, som befinna sig i det läge, att de känna en stark frestelse därtill, och det går ännu mindre, innan Riket kommit. Man kan alltså icke stryka straffet för stöld, ehuru man måste erkänna, att detta straff är såtillvida ett klassstraff, att det drabbar hufvudsakligen det proletärlager, som är utsatt för frestelse. Men det kan icke hjälpas, samhället kan icke</w:t>
        <w:br/>
        <w:br/>
        <w:t>: hållas ihop i sina fogar på andra villkor, än att man stadgat straff</w:t>
        <w:br/>
        <w:br/>
        <w:t>för stöld. Det må vara, att 15 kap. 22 $, när man generaliserar försöket, kommer att träffa arbetaren många gånger oftare än arbetsgifvaren, det kan man icke göra någonting emot. Det ligger i sakens natur och har icke afhållit främmande lagar från att generalisera försöket äfven beträffande det brott, som vi nu tala om. Den olägenhet, som ligger däri, är ofrånkomlig, och man får försöka uppväga denna nackdel för arbetarne på annat sätt.</w:t>
        <w:br/>
        <w:br/>
        <w:t>I det resonemang, som föres från det socialdekmokratiska hållet, förekommer särskildt ett argument, som är mycket farligt, ifall det vinner för mycket terräng. Jag tror icke, att det skall vinna terräng i Riksdagen, men desto mera i de breda lagren. Man kan så mycket mera frukta för det, som det icke är många veckor sedan jag såg i en af partiets tidningar — jag tror, att det var i Socialdemokraten — en artikel, som riktade sig mot mig personligen och rörde just denna min motion. Däri manade man partivännerna — jag vill minnas, att uttrycken föllo så — att se upp med motionen, hvilken vore ur humanitär synpunkt en undervattensbåt långt farligare än F-båten eller rent af en Dreadnought. Enligt det resonemanget strider mitt förslag mot de humanitära krafven. Hvarför? Jo, ty det utvidgar i princip det straffbaras gräns: man har, menar</w:t>
        <w:br/>
        <w:br/>
        <w:t>författaren, icke behof af straff i de fall, då ingen skada uppkom- Om mer; förslaget drifver straffet längre, än rättskänslan kräfver, under i ed det man bör straffa så litet och så mildt som möjligt. — Men ett "och 24.55 så beskaffadt kraf på humanitet motarbetar all verklig humanitet sirafflagen. i strafflagen. Det är enligt denna åsikt icke den brottsliga viljan, (Forts.) som man skulle gå efter utan efter, det, om brottslingen lyckats. Hur vilja de ärade ledamöterna af det socialdemokratiska partiet då försvara, att man t. ex. genom villkorlig dom släpper en person, — han hor i hvarje fall begått ett brott, ehuru hans vilja icke är fördärfvad. Om man icke går efter viljan, måste man ju gå efter resultatet. Det betyder, att man icke skall se till, huruvida man har att göra med en fördärfvad eller en ofördärfvad människa, utan att man endast skall fästa afseende vid handlingens yttre verkan, vi skola med andra ord vara forngermaner på allvar. Det finnes ingen farligare sats än denna, och det är icke godt att öfverskåda, huru långt den kan leda. Jag ber herrarna att, innan den sättes in i katekesen, partiprogrammet, tänka öfver verkningarna af densamma och icke vara så inkonsekventa, att man i vissa fall, exempelvis beträffande villkorlig dom, tager hänsyn till viljan, under det att man i andra endast fäster sig vid resultatet. Åtminstone för den yttre anständighetens skull måste man hålla på en viss princip i det hela, och det kan man i den moderna strafflagen icke göra på annat sätt, än att man riktar sig mot den brottsliga viljan i främsta rummet. Men den brottsliga viljan kan vara lika intensiv i försöket som i det fullbordade brottet. Det kan helt och hållet vara en slump och ingenting annat, som afgör, huruvida ett brott lyckas eller icke. Jag vill gärna medgifva, att försöket kan i andra fall stå tillsammans med en mindre energisk vilja. Men man kan taga alldeles tillräcklig hänsyn till det sista, om man sätter försöksstraffet lägre än straffet för det fullbordade brottet. Att i princip lämna försöket straffritt är något, som strider så mycket mot den nutida uppfattningen af straffet, att det icke är möjligt att få en något så när konsekvent strafflag till stånd på en sådan basis. Jag nämnde något om partiprogrammet, och jag kan icke underlåta att ännu en gång upprepa det. Enhvar, som vet, hvad detta betyder för arbetarepartiet, måste med ängslan emotse, att det på programmet kommer upp någonting, som är uttryck för en alltigenom oriktig princip. Har det en gång kommit in i massans hufvuden, står det icke till att få det därur. Jag antar, att jag med detta icke stött de ärade ledamöterna af partiet — i flera afseenden står jag ju på samma ståndpunkt som de, och jag kan därför tala rent ut. Har någonting kommit in i katekesen om att försöket bör vara straffritt, så kunna inga skäl i världen få ur arbetaremassorna, att det skall vara så. Man får sålunda akta sig i tid och väl tänka efter, hvart detta kan leda. Härtill vill jag foga en annan reflexion. När man i våra dagar</w:t>
        <w:br/>
        <w:br/>
        <w:t>i tid och otid från allt annat än fackmässigt håll ropar på humanitet i straffet, så kan däri ligga ett visst berättigande. Men alltför ofta händer det, att dessa människor, som ropa på humanitet, äro ofant-</w:t>
        <w:br/>
        <w:br/>
        <w:t>strafflagen. ligt humana mot den brottslige, men ofantligt inhumana mot brotts-</w:t>
        <w:br/>
        <w:br/>
        <w:t>lingens offer, mot öfriga människor. Om det är en person, som upprepade gånger begår försök till brott eller begått ett enda försök, som visat, att han har en utprägladt brottslig vilja, så är det vådligt att låta honom gå lös bland laglydiga medborgare. Är det icke bättre att taga en sådan person om hand, när han visat, att den brottsliga viljan finnes? En annan sak är, att skäl kunna finnas för att straffet för försök sättes lägre än för det fullbordade brottet.</w:t>
        <w:br/>
        <w:br/>
        <w:t>Således torde den ängslan, som uttalades i nyssnämnda tidningsartikel, i själfva verket vara obefogad. Den verkliga humaniteten har ingenting att frukta utaf en generalisering af försöket. Den af mig omnämnda artikeln var signerad; om jag minnes rätt, var det en advokat Hellberg, som däri uttryckte sin ängslan för utvidgningen af det straffbaras gräns.</w:t>
        <w:br/>
        <w:br/>
        <w:t>Af hvad jag yttrat framgår, att jig icke kan ansluta mig till någon af de nämnda tre linjerna, utan att jag måste hålla på min motion, som går ut på ett generaliserande af försöket.</w:t>
        <w:br/>
        <w:br/>
        <w:t>Hvad angår åtalsfrågan, har jag för ingen del, det måste jag säga, blifvit öfvertygad af de skäl, som framförts mot att brottet i sin helhet föres under allmänt åtal. Jag vill därför alldeles icke uttala mig om, huruvida ej detta bör ske i sista hand med hänsyn till en strafflagsreform. Men om man ser frågan taktiskt och realpolitiskt, och då min motion med en sådan ändring i fråga om åtalsrätten, som jag förut antydt, synes hafva i Första kammaren vunnit understöd på sådana håll, som äro i hög grad beaktansvärda, bland annat af herr Afzelius, då förefaller det mig, som om i den riktningen skulle finnas betydliga möjligheter för att vinna ett samstämmigt resultat i båda kamrarna, och detta snart nog. Därför vill jag för min del uppmana dem, som möjligen tänkt i likhet med två reservanter i lagutskottet följa min motion, i densamma besluta den ändring, som föreslogs i Första kammaren och där torde ha utsikt att så småningom vinna gehör. Därigenom skulle 24 $ få följande lydelse: »Brott, som i 22 $ sagdt är, må ej åtalas af allmän åklagare, där ej målsäganden angifver det till åtal eller ock brottet medfört fara för allmän säkerhet eller ordning, ej heller må brott, som i 23 $ sägs, åtalas af annan än målsägande».</w:t>
        <w:br/>
        <w:br/>
        <w:t>Det är denna linje, som jag vill förorda, det är den norska lagens ståndpunkt, men bestämmelsen är så pass förändrad, som för våra förhållanden torde vara nödigt. Den norska lagen är mera allmänt sväfvande, den talar om hänsynen till det allmänna. Jag tror icke, att det är lämpligt att hos oss använda ett sådant uttryck, utan att det är bättre att använda uttrycket »medfört fara för allmän säkerhet och ordning». Jag vill sålunda, herr talman, yrka</w:t>
        <w:br/>
        <w:br/>
        <w:t>bifall till min motion med nyssnämnda af herr Rogberg i Första kammaren föreslagna förändring.</w:t>
      </w:r>
    </w:p>
    <w:p>
      <w:pPr>
        <w:pStyle w:val="Heading2"/>
      </w:pPr>
      <w:r>
        <w:t>3. Jakob Pettersson (Liberala riksdagspartiet, man)</w:t>
      </w:r>
    </w:p>
    <w:p>
      <w:r>
        <w:rPr>
          <w:b w:val="0"/>
        </w:rPr>
        <w:t xml:space="preserve">Herr talman, mina herrar! Det är ett stort nöje att bevista en turnering, i hvilken den ärade representanten från Lund deltager, men det är icke lika stort nöje att vara hans på förhand till undergång vigde motståndare vid en sådan turnering. Det är nämligen så, att den ärade representanten från Lund har till sitt förfogande en väl slipad och skarp logik; hans utfall äro merändels träffsäkra, och han är iklädd en rustning at sakkunskap, som är både glänsande och tämligen fri från rämnor. En strid med honom blir naturligtvis mer än eljest ojämn, när valplatsen är, hvad man skulle kunna kalla, just hans egen </w:t>
      </w:r>
      <w:r>
        <w:rPr>
          <w:b/>
        </w:rPr>
        <w:t>mammas²</w:t>
      </w:r>
      <w:r>
        <w:rPr>
          <w:b w:val="0"/>
        </w:rPr>
        <w:t xml:space="preserve"> gata, nämligen strafflagstiftningen, ty där är han icke allenast sakkunnig, utan där har han till sitt förfogande en grundlig lärdom, som ingen annan af oss kan prestera. Då jag nu icke till bemötande upptager hans argument stycke för stycke, men på samma gång dock icke vill erkänna mig alldeles förkrossad däraf, så gör jag det äfven med risk, att professor Thyrén skall anse mig vara en af de där envisa och inskränkta människorna, på hvilka skäl icke bita.</w:t>
        <w:br/>
        <w:br/>
        <w:t>Jag skall endast tillåta mig att framställa ett par »lekmannainvändningar» mot professor Thyréns framställning. Såsom herr Thyrén erinrat, ha vi i denna fråga mellan den rena och oförfalskade Förstakammarlinjen eller det-är-bra-som-det-är-linjen och den rena status-antebellum-linjen, d. v. s. den socialdemokratiska, icke mindre än tre medelvägar. Det är först den Thyrénska linjen, så den Rogbergska linjen, till hvilken herr Thyrén nu tycks med prisvärd själfuppgifvelse vilja ansluta sig, och slutligen den, som herr Åkerman och jag gifvit upphof till, och som jag vill kalla den Åkermanska linjen. Jag skall icke uppehålla mig vid Förstakammarlinjen eller vid den socialdemokratiska linjen. De föregående talarna ha tillräckligt uttalat sig därom, så att det är icke mycket att tilllägga. Jag vill endast säga, att jag för min del i någon mån skiljer mig från herr Åkermans ståndpunkt i det afseendet. Jag anser i motsats till honom, att rent principella skäl böra mana oss att hålla på, att våld eller hot, som sker i syfte att tvinga någon, bör bestraffas strängare än det enkla våldet eller hotst.</w:t>
        <w:br/>
        <w:br/>
        <w:t>Jag öfvergår således till att yttra mig om de tre medelvägarna. Hvad innebär då den Thyrénska linjen? Jo, herr Thyrén häfdar, att Åkarpslagen är behäftad med orättvisor och ogentligheter, och dessa fel vill han aflägsna med två grepp. För det första vill han utsträcka straffet för försök att tvinga till att gälla icke allenast försök att tvinga till att deltaga i arbetsinställelse, utan försök att tvinga till hvarje underlåtenhet eller verksamhet. För det andra vill han införa en mildare straffskala för försöket än för det fullbordade brottet. Däremot föreslår han icke någon inskränkning i den allmänna åtalsrätten. Den Rogbergska linjen, som vi kunna</w:t>
        <w:br/>
        <w:br/>
        <w:t>kalla den Thyrénska linjen nr 2, innehåller den modifikationen, att den allmänna åtalsrätten tages bort och endast införes i vissa särskilda fall, hvilka skulle vara — om jag fattade det rätt — då det föreligger fara för allmän ordning och säkerhet.</w:t>
        <w:br/>
        <w:br/>
        <w:t>Så ha vi slutligen den Åkermanska linjen, som jag biträdt. Den är också en modifikation af den Thyrénska linjen. Den är liksom denna byggd på de två grundtankarna, att man bör vidga området för de straffbara försöken till tvång samt vidare att man bör sätta straffet för försök till tvång lägre än straffet för det fullbordade brottet, i öfverensstämmelse med hvad som eljest gäller i vår strafflag. Hvad ha vi då att invända mot den Thyrénska ståndpunkten? Jo, vi äro rädda för, att generaliseringen går litet för långt, och att vi genom antagande af den komma in på områden, där vi känna oss litet osäkra, huruvida det är så alldeles rätt, att statens straffmakt skall gripa in.</w:t>
        <w:br/>
        <w:br/>
        <w:t>För närvarande är det så, att 15 kapitlet 23 $ strafflagen straffar hot, men endast hot, som innebär hot om misshandel eller annan brottslig gärning. I Åkarpslagen har införts straff för försök till tvång medelst våld eller hot, utan att hotet är så preciseradt som säges i 23 $. Redan när lagförslaget granskades i högsta domstolen, så anmärktes det, såsom herr Åkerman framhållit, att man genom den obestämda formulering, lagen erhållit, utsatte sig för den faran, att som brott skulle betraktas handling, som icke af den allmänna rättsuppfattningen ansågs såsom brottslig. Denna farhåga har i rikt mått besannats. Det har i stor utsträckning inträffat, att personer straffats enligt Åkarpslagen för handlingar, om hvilka jag är säker på, att en god del af eder, mina herrar, äro tveksamma om, huruvida de verkligen böra drabbas af straff. Sådana handlingar, som att en strejkande arbetare säger till en strejkbrytare: om du icke vill låta bli att arbeta, så vill jag icke arbeta kamrat med dig, eller att en annan säger: om du icke slutar upp med att arbeta, så skall jag träta på dig, eller att en strejkande arbetare lämnar en strejkbrytare ett protokollsutdrag från ett föreningssammanträde, där det beslutats, att den eller den skall behandlas som strejkbrytare, om han icke upphör att arbeta; sådana handlingar hafva i stor utsträckning åtalats och delvis äfven dömts enligt Åkarpslagen.</w:t>
        <w:br/>
        <w:br/>
        <w:t>Nu vill herr Thyrén, att denna vida tolkning af försök till brott skall utsträckas så, att hvarje handling, som innebär försök att tvinga någon, skall drabbas med straff, äfven om försöket misslyckas. Jag vill gärna erkänna, att man genom en så långt gående generalisering visserligen får straff för många handlingar, som böra bestraffas, men som nu icke bli det, såsom t. ex. utpressningsförsök, men jag är osäker på, om vi också icke få in en del handlingar under denna lag, som åtminstone icke här i landet anses som brott. Det är för att undgå dessa farliga följder af en alltför långt gående generalisering af straff för försök till brott, som herr Åkerman och jag tillåtit oss föreslå, att man skulle nöja sig med att utsträcka straff</w:t>
        <w:br/>
        <w:br/>
        <w:t>för försök till tvång till att gälla sådana försök, vid hvilka begagnas medel, som i sig själfva äro straffbara, antingen våld eller sådant hot, som enligt $ 23 är straffbart.</w:t>
        <w:br/>
        <w:br/>
        <w:t>Nu framställde herr Thyrén åtskilliga invändningar mot denna formulering. Jag hann icke få upp dem alla, men jag skall särskildt taga upp en af dem, i synnerhet som den tycktes väcka särskild anklang och äfven munterhet i kammaren. Herr Thyrén sade, att om reservanternas förslag antoges, skulle följden bli den, att försök till tvång genom hot straffas med ända till 2 års fängelse, äfven om hotet innebar exempelvis hot om sådan ärekränkning, som omtalas i 16 kapitlet 11 $ och där straffas med högst 200 kronors böter. Men om den, som vill tvinga den andre, i stället ärekränker honom, då slipper han billigare undan, ty då får han högst 200 kronors böter. Jag tror, att herr Thyréns tankegång var denna. Men jag skall då be att få göra den frågan: hur ställer det sig i det fallet med herr Thyréns eget förslag? Herr Thyrén har framlagt ett förslag, som vi återfinna på första sidan af betänkandet, och jag skall be att få läsa upp, hur det förslaget lyder:</w:t>
        <w:br/>
        <w:br/>
        <w:t>»Tvingar någon, utan laga rätt, eller med missbruk af sin rätt, genom våld eller hot, annan att något göra, tåla eller underlåta, straffes högst med straffarbete i två år, 1 de fall, där gärningen ej med svårare straff särskildt belagd är.</w:t>
        <w:br/>
        <w:br/>
        <w:t>Gör man försök till brott, som nu sagdt är, och är det försök ej med svårare straff särskildt belagdt, straffes med böter eller fän-</w:t>
        <w:br/>
        <w:br/>
        <w:t>else». ? Om vi nu tänka oss, att herr Thyrén drifvit igenom en strafflagsparagraf af den lydelse, jag nu läst upp, och vi tänka oss en person, som vill tvinga en annan genom att använda hot om en sådan lindrig form af ärekränkning, som ofvan omnämnts, och vi då först tänka oss, att personen endast hotar och säger: om du icke gör så och så, skall jag ärekränka dig, så vill jag fråga herr Thyrén: blir en sådan person straffbar eller icke? Om Jag läst rätt, så blir han straffbar och kan få ända till 2 års fängelse, således lika högt straff som enligt herr Åkermans och mitt förslag. Sedan kunna vi fråga, hur det går, om en person verkligen begår ärekränkningen. Ja, om han gör det, så kommer han icke under herr Thyréns 22 $, utan då får han liksom enligt herr Åkermans och mitt förslag endast högst 200 kronors böter, ty jag kan icke se annat, än att herr Thyréns 22 $ endast stadgar straff för den, som söker tvinga någon annan genom våld eller hot.</w:t>
        <w:br/>
        <w:br/>
        <w:t>Hvad som gör, att jag känner mig tveksam om en sådan utsträckning af de straffbara försöken, är, att vår strafflag, som herr Thyrén erinrade om, i allmänhet icke bestraffar försöksbrott. Nu säger herr Thyrén, att främmande länders strafflagar bestraffa försök till tvång och att utvecklingen tenderar till att i större omfång, än hos oss sker, försök till brott straffas. Ja, det må vara sant, men då man i vår strafflag i allmänhet icke har straff för försök, synes det</w:t>
        <w:br/>
        <w:br/>
        <w:t>vara vanskligt att i strid mot systemet på denna särskilda punkt</w:t>
        <w:br/>
        <w:br/>
        <w:t>Så mycket mer stötande blir en så vidsträckt generalisering, då försöksbrotten, äfven om icke brottsliga medel användas, skola komma under allmänt åtal; om t. ex. en person blir utsatt för utpressningsförsök och detta skall ställas under allmänt åtal, så kan ju tänkas fall, då målsägaren känner sig långt ifrån tacksam, för att allmänna åklagaren har hand om saken och denna därigenom kommer till allmänhetens kännedom.</w:t>
        <w:br/>
        <w:br/>
        <w:t>Jag skall gärna erkänna, att detta är ett fall, då det är svårt att träffa det rätta med lagstiftning, men att vi icke äro mogna för en så långt gående utsträckning af straff för försöksbrott, tror jag, att herr Thyrén får gifva oss rätt i. För öfrigt har ju Första kammaren afslagit det här, hvarför någon lagändring icke kan i år komma till stånd, utan därmed måste i allt fall anstå. Jag tror i alla fall, att en opinionsyttring från Andra kammaren skulle ha det värde, att den visar, å ena sidan att kammaren verkligen vill bestraffa ifrågavarande slags brott, men också å andra sidan att kammaren icke vill gå så långt i utsträckning af straff för försöksbrott, som herr Thyrén här velat föreslå.</w:t>
        <w:br/>
        <w:br/>
        <w:t>Jag tillåter mig yrka bifall till den af herr Åkerman och mig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