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186</w:t>
      </w:r>
    </w:p>
    <w:p>
      <w:r>
        <w:rPr>
          <w:b/>
        </w:rPr>
        <w:t xml:space="preserve">Datum: </w:t>
      </w:r>
      <w:r>
        <w:t>1913-02-12</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Lindblad (Lantmannapartiet, man)</w:t>
      </w:r>
    </w:p>
    <w:p>
      <w:r>
        <w:rPr>
          <w:b w:val="0"/>
        </w:rPr>
        <w:t>Det undras mig, om bevillningsutskottet icke förfarit väl snävt mot motionären. I förbigående vill jag anmärka, att man tycks hava slagit in på en ny väg vid formuleringen av bevillningsutskottets betänkanden, varvid förebilden hämtas från statsutskottet, nämligen att icke referera motionerna. Men om det där kan vara lämpligt, då det gäller rena anslagsfrågor, torde det i fråga om bevillningseller lagfrågor vara i viss mån olämpligt, isynnerhet om motionen icke är längre, än att dess motivering kunnat få rum på en halv sida till. En sådan komplettering hade, tror jag, kunnat vara till upplysning för kammaren, som nog kanske i allmänhet icke genomläser eller gömmer Andra kammarens talrika motioner, och jag tror, att utelämnandet icke heller leder till besparing i sak, ty i själva verket tvingas man, om det blir diskussion, att mer utförligt referera motionens innehåll, för att kammaren skall veta vad saken rör.</w:t>
        <w:br/>
        <w:br/>
        <w:t>Jag får erinra om, att 1911 års riksdag enhälligt beslöt en skrivelse till Kungl. Maj:t på framställning av herr Clason och friherre Palmstierna i Andra kammaren, i avsikt att undanröja ett oegentligt och på äktenskapsfrekvensen menligt inverkande förhållande, som rörde skattelagstiftningen. Denna Riksdagens skrivelse är ännu obe: svarad, men omnämnes icke med ett ord i det föreliggande betänkandet, och detta förefaller mig ganska egendomligt, då denna skrivelse utgör en vida större ram, och vad motionären här begär är ett litet brottstycke av vad skrivelsen innehåller. Det hade då varit lämpligt att åtminstone antyda, att Riksdagen för några år sedan skrivit om ganska vitt gående reformer i den av motionären påpekade riktningen. Skulle man ru godkänna den av utskottet framlagda motiveringen, komme den att strida mot vad Riksdagen förut angivit såsom sin mening, men jag kan knappast föreställa mig, att Riksdagen på dessa två år redan hunxrit ändra mening, utan anser att den fortfarande vidhåller vad den skrev år 1911.</w:t>
        <w:br/>
        <w:br/>
        <w:t>Den som känner förhållandena på landsbygden vet, att det av</w:t>
        <w:br/>
        <w:br/>
        <w:t xml:space="preserve">motionären åberopade förfaringssättet därstädes medför en högst berättigad klagan. Det gäller för övrigt våra minsta inkomststagare, både i stad och på land, det gäller sådana fall, där </w:t>
      </w:r>
      <w:r>
        <w:rPr>
          <w:b/>
        </w:rPr>
        <w:t>hustrun²</w:t>
      </w:r>
      <w:r>
        <w:rPr>
          <w:b w:val="0"/>
        </w:rPr>
        <w:t xml:space="preserve"> med sitt arbete utom hemmet bidrager till familjens underhåll, och då tror jag, att vi litet var äro av den meningen, att dessa fattiga familjer böra skyddas och bispringas, gentemot en olämplig tillämpning av skatteförordningen, nämligen att man inkvisitoriskt söker få reda på de minsta inkomster som </w:t>
      </w:r>
      <w:r>
        <w:rPr>
          <w:b/>
        </w:rPr>
        <w:t>hustrun²</w:t>
      </w:r>
      <w:r>
        <w:rPr>
          <w:b w:val="0"/>
        </w:rPr>
        <w:t xml:space="preserve"> kan tillvinna familjen. Jag vågar särskilt säga, att bland statarfamiljerna detta olämpliga tillvägagångssätt väcker synnerligt stor otillfredsställelse. Varpå beror då detta? Det beror på att enligt skatteförordningen varje arbetsgivare, som har hos sig på stadigvarande sätt minst 5 arbetare anställda, är skyldig alt avgiva en fullständig deklaration över vad dessa arbetare jämte </w:t>
      </w:r>
      <w:r>
        <w:rPr>
          <w:b/>
        </w:rPr>
        <w:t>hustrun²</w:t>
      </w:r>
      <w:r>
        <w:rPr>
          <w:b w:val="0"/>
        </w:rPr>
        <w:t xml:space="preserve"> under föregående år intjänat. För en liknande arbetsgivare, som använder ett mindre antal arbetare, förekommer icke någon sådan skyldighet, vilket kan vålla inom samma socken en högst ojämn tillämpning av skattebestämmelserna. Jag tror, att om vi upprepa vad Riksdagen år 1911 skrev och det i motiveringen framhålles, att man på stående fot icke kan göra ändring i själva saken, skulle detta medföra, att skattemyndigheterna visste att bättre rätta sig efter omständigheterna och icke tillämpade föreskrifterna på nuvarande rigorösa och förhatliga sätt.</w:t>
        <w:br/>
        <w:br/>
        <w:t>Det var detta jag skulle vilja rekommendera, att bevillningsutskottet fortfarande ville behjärta, då jag vet att i Andra kammaren yrkande om återremiss kommer att framställas, anhåller jag att kammaren ville upptaga detta yrkande med välvilja, på det att bevillningsutskottet måtte sättas i tillfälle att taga i övervägande, om icke Riksdagen fortfarande står på samma ståndpunkt som angavs i 1911 års skrivelse. Med anledning härav ber jag, herr talman, att få yrka återremiss.</w:t>
      </w:r>
    </w:p>
    <w:p>
      <w:pPr>
        <w:pStyle w:val="Heading2"/>
      </w:pPr>
      <w:r>
        <w:t>2. Karl Karlsson (Liberala samlingspartiet, man)</w:t>
      </w:r>
    </w:p>
    <w:p>
      <w:r>
        <w:rPr>
          <w:b w:val="0"/>
        </w:rPr>
        <w:t>Egentligen hade jag tänkt, att någon av utskottets ledamöter, som sitta i den avdelning, vilken inom utskottet förberedande behandlat motionen, skulle komma att försvara utskottet. Emellertid gjorde föregående talare ett angrepp på utskottet, därför att utskottet i sitt betänkande icke återgivit motionen. Det kan nästan glädja en att någon gång se herrar Lindblad och Lindhagen intaga samma ståndpunkt. Såsom kammaren behagar erinra sig, har nämligen herr Lindhagen redan motionerat i Andra kammaren att det måtte åläggas utskotten att återgiva motionerna i vederbörande betänkanden. Denna fråga kommer sålunda att föreläggas kamrarna till avgörande, men till dess att kamrarna fattat ett sådant beslut, som herr Lindblad önskar, tror jag nog, att bevillningsutskottet kommer att fortfarande följa den praxis, som utskottet inledde förra året, en praxis, om vilken utskottet icke varit ensamt utan som även tillämpats inom andra utskott.</w:t>
        <w:br/>
        <w:br/>
        <w:t>Som motivering för sitt klander yttrade den ärade talaren, att han trodde, att Första kammarens ledamöter i regel icke gömde motioner, som äro väckta i Andra kammaren. Jag har verkligen en helt annan uppfattning av Första kammarens ledamöter; jag tror</w:t>
        <w:br/>
        <w:br/>
        <w:t>bestämt att de taga vara på motioner, som väckts i Andra kammaren, Ang. skatte-</w:t>
        <w:br/>
        <w:br/>
        <w:t>likaväl som de taga vara på dem, som blivit väckta i Första kam-- maren. Vad det här gäller är egentligen en kostnadsfråga. Sedan staten kostat på tryck på motionerna, äro ledamöterna skyldiga att</w:t>
        <w:br/>
        <w:br/>
        <w:t xml:space="preserve">taga vara på dessa handlingar, då de veta, att frågan skall behandlas gift </w:t>
      </w:r>
      <w:r>
        <w:rPr>
          <w:b/>
        </w:rPr>
        <w:t>kvinna¹</w:t>
      </w:r>
      <w:r>
        <w:rPr>
          <w:b w:val="0"/>
        </w:rPr>
        <w:t>.</w:t>
        <w:br/>
        <w:br/>
        <w:t>i kammaren och att de då behöva detta materiel för bedömande av de olika betänkandena.</w:t>
        <w:br/>
        <w:br/>
        <w:t xml:space="preserve">Emellertid, rörande själva den fråga, som utskottet här haft till förberedande behandling, ville den ärade talaren, såvitt jag icke missförstod honom, sätta likhetstecken mellan denna motion och en, som tidigare behandlats i Riksdagen och då föranledde en skrivelse. Det var nämligen en motion, som väckts dels av herr Clason i denna kammare och dels av herr Palmstierna i Andra kammaren, vilken dock icke direkt berörde samma ämne som förevarande motion. Den gick ut på att äkta makars inkomster skulle taxeras var för sig, detta i syfte att i viss mån underlätta äktenskapsfrekvensen, som det hette. Och då skrev Riksdagen om denna sak. Nu motionerar herr Akerlund, såsom kammarens ledamöter observerat, att inkomst, som genom arbete förvärvats av gift </w:t>
      </w:r>
      <w:r>
        <w:rPr>
          <w:b/>
        </w:rPr>
        <w:t>kvinna¹</w:t>
      </w:r>
      <w:r>
        <w:rPr>
          <w:b w:val="0"/>
        </w:rPr>
        <w:t>, skall vara skattefri, såvida densamma icke överstiger 300 kronor per år och makarnas sammanlagda inkomst icke överstiger 1,200 kronor.</w:t>
        <w:br/>
        <w:br/>
        <w:t xml:space="preserve">Jag skall villigt erkänna, och jag tror att utskottets ledamöter med mig voro ense därutinnan, att det syfte, som ligger bakom motionen, är behjärtansvärt. Men utskottet har funnit att genom en sådan lagstiftning man skulle i skattehänseende olikställa personer, som leva i ungefär liknande förhållanden. Om vi tänka oss in i förhållandena, exempelvis på landsbygden, och om det skulle bliva så fortfarande, som nu är vanligt, att </w:t>
      </w:r>
      <w:r>
        <w:rPr>
          <w:b/>
        </w:rPr>
        <w:t>hustrun²</w:t>
      </w:r>
      <w:r>
        <w:rPr>
          <w:b w:val="0"/>
        </w:rPr>
        <w:t xml:space="preserve"> bidrar till ökad inkomst för familjen genom att deltaga i arbetet, vare sig i ladugården eller på åker och äng, så skulle familjen icke erhålla skattelindring, utan denna lindring skulle först inträda, när </w:t>
      </w:r>
      <w:r>
        <w:rPr>
          <w:b/>
        </w:rPr>
        <w:t>hustrun²</w:t>
      </w:r>
      <w:r>
        <w:rPr>
          <w:b w:val="0"/>
        </w:rPr>
        <w:t xml:space="preserve"> lämnar hus och hem och går utanför hemmet för att genom ren kontant förtjänst öka familjens inkomst. Det är ett sådant sätt, att på detta område tillämpa en skattelindring, som utskottet funnit olämpligt.</w:t>
        <w:br/>
        <w:br/>
        <w:t>Nu har den föregående talaren även sagt, att Riksdagen borde visa, att den fortfarande vidhåller den åsikt som Riksdagen en gång uttalade med anledning av herrar Clasons och friherre Palmstiernas motioner, men när nu dessa motioner och den nu föreliggande icke angå samma sak, kan jag icke se, att Riksdagen har tillfälle att uttala sig i denna riktning genom att även bifalla föreliggande motion, som ju talar om något helt annat. ÅA andra sidan har jag icke heller hört talas om att Riksdagen genom att avslå en motion med ett visst yrkande, skulle anses hava övergivit den ståndpunkt som Riksdagen förut intagit i annan fråga.</w:t>
        <w:br/>
        <w:br/>
        <w:t>Vidare uttalade sig den ärade talaren om att vissa skattemyndigheter skulle gå alltför rigoröst tillväga gentemot skattedragarna. Jag förstår knappast, att utskottet i detta sammanhang skulle genom ändrad formulering av motiveringen kunna göra ett uttalande i sådan riktning eller att Riksdagen genom att instämma häruti skulle kunna förmå skattemyndigheterna att gå tillväga på ett mindre rigoröst sätt.</w:t>
        <w:br/>
        <w:br/>
        <w:t>Ang. skatte- Jag tror således, att föregående talare icke anfört tillräckliga skäl frihet i visst för en återremiss till utskottet, och ber att få yrka bifall till ut-</w:t>
      </w:r>
    </w:p>
    <w:p>
      <w:pPr>
        <w:pStyle w:val="Heading2"/>
      </w:pPr>
      <w:r>
        <w:t>3. Ollas Anders Ericsson (Bondeförbundet, man)</w:t>
      </w:r>
    </w:p>
    <w:p>
      <w:r>
        <w:rPr>
          <w:b w:val="0"/>
        </w:rPr>
        <w:t>Jag kunde ha avstått från att yttra mig, då den föregåends talaren redan har refeferat vad jag egentligen tänkte säga, men efter jag fått ordet, ber jag att få uttala min förvåning över att den förste ärade talaren kunde uttala sig som han gjorde, då han sade, att beskattningsförhållandena i förevarande avseende på landsbygden vore av den beskaffenhet att de väckte stor uppmärksamhet. Ja, det skulle verkligen på landsbygden väcka stor uppmärksamhet, därest man ginge motionärens önskningar till mötes; det är min fulla öfvertygelse.</w:t>
        <w:br/>
        <w:br/>
        <w:t xml:space="preserve">Hur skulle reflektionerna te sig om t. ex. en arbetare eller hantverkare på landet är granne till en liten jordbrukare, och arbetarens eller hantverkarens </w:t>
      </w:r>
      <w:r>
        <w:rPr>
          <w:b/>
        </w:rPr>
        <w:t>hustru²</w:t>
      </w:r>
      <w:r>
        <w:rPr>
          <w:b w:val="0"/>
        </w:rPr>
        <w:t xml:space="preserve"> har förskaffat sig någon biförtjänst, och </w:t>
      </w:r>
      <w:r>
        <w:rPr>
          <w:b/>
        </w:rPr>
        <w:t>hon²</w:t>
      </w:r>
      <w:r>
        <w:rPr>
          <w:b w:val="0"/>
        </w:rPr>
        <w:t xml:space="preserve"> enligt motionärens förslag skulle bli befriad från skatt, därest inkomsten icke uppginge till 300 kronor per år, men den lilla jordbrukarens </w:t>
      </w:r>
      <w:r>
        <w:rPr>
          <w:b/>
        </w:rPr>
        <w:t>hustru²</w:t>
      </w:r>
      <w:r>
        <w:rPr>
          <w:b w:val="0"/>
        </w:rPr>
        <w:t xml:space="preserve">, som går och knogar och deltager i arbetet i ladugården, på åker och äng, och därigenom följaktligen i hög grad ökar den inkomst, för vilken mannen beskattas, icke skulle kunna vederfaras samma förmån. Nog skulle en sådan ojämnhet i skattelagstiftningen vara egnad att väcka stor uppmärksamhet och nog skulle den omtalade jordbrukaren med fog kunna undra över att arbetarens eller hantverkarens </w:t>
      </w:r>
      <w:r>
        <w:rPr>
          <w:b/>
        </w:rPr>
        <w:t>hustru²</w:t>
      </w:r>
      <w:r>
        <w:rPr>
          <w:b w:val="0"/>
        </w:rPr>
        <w:t xml:space="preserve"> bleve befriad ifrån att erlägga skatt för den inkomst </w:t>
      </w:r>
      <w:r>
        <w:rPr>
          <w:b/>
        </w:rPr>
        <w:t>hon²</w:t>
      </w:r>
      <w:r>
        <w:rPr>
          <w:b w:val="0"/>
        </w:rPr>
        <w:t xml:space="preserve"> i kontanta penningar tillfört hemmet, men själv måste erlägga skatt för den inkomst, som hans </w:t>
      </w:r>
      <w:r>
        <w:rPr>
          <w:b/>
        </w:rPr>
        <w:t>hustru²</w:t>
      </w:r>
      <w:r>
        <w:rPr>
          <w:b w:val="0"/>
        </w:rPr>
        <w:t xml:space="preserve"> skapat genom sitt idoga arbete i hemmet. Jag kan icke vara med om, att skapa en sådan ojämnhet i beskattningsavseende.</w:t>
        <w:br/>
        <w:br/>
        <w:t>Så uttryckte samma talare sin förvåning över att utskottet icke tänkt på 1911 års riksdagsskrivelse. Jo, det är just vad utskottet gjort, och om talaren studerat skrivelsen, skulle han funnit, att dåvarande motionär berörde denna fråga i motionen, men bevillningsutskottet tog avstånd från den tanken och sade även ifrån i motiveringen, att det icke ville gå med på den vägen. Om kammaren nu bifaller vad utskottet föreslagit, handlar den således icke i strid med 1911 års riksdagsskrivelse i detta fall utan tvärtom i full överensstämmelse med densamma. Jag tager mig därför friheten att yrka bifall till utskottets hemställan.</w:t>
      </w:r>
    </w:p>
    <w:p>
      <w:pPr>
        <w:pStyle w:val="Heading2"/>
      </w:pPr>
      <w:r>
        <w:t>4. Gustaf Lagerbjelke (Första kammarens nationella parti, man)</w:t>
      </w:r>
    </w:p>
    <w:p>
      <w:r>
        <w:rPr>
          <w:b w:val="0"/>
        </w:rPr>
        <w:t xml:space="preserve">Såsom mångårig medlem av taxeringsnämnd anser jag mig kunna konstatera, att i ett högst betydligt antal taxeringsnämnder i riket, särskilt i Stockholms län, det syfte, som avses i denna motion, verkligen blivit genom praxis tillgodosett. Då gifta </w:t>
      </w:r>
      <w:r>
        <w:rPr>
          <w:b/>
        </w:rPr>
        <w:t>kvinnor¹</w:t>
      </w:r>
      <w:r>
        <w:rPr>
          <w:b w:val="0"/>
        </w:rPr>
        <w:t xml:space="preserve">, bland andra de av herr Lindblad omnämnda </w:t>
      </w:r>
      <w:r>
        <w:rPr>
          <w:b/>
        </w:rPr>
        <w:t>statarehustrurna²</w:t>
      </w:r>
      <w:r>
        <w:rPr>
          <w:b w:val="0"/>
        </w:rPr>
        <w:t xml:space="preserve">, hava extra inkomst, t. ex. genom mjölkning, vilken senare inkomst i regeln uppgår till ett par hundra kronor om året, bliver detta allmänt icke beskattat. Anledningen till, att man ansett sig kunna förfara på detta sätt, har sin grund däri, att man utgår frän att, när gift </w:t>
      </w:r>
      <w:r>
        <w:rPr>
          <w:b/>
        </w:rPr>
        <w:t>kvinna¹</w:t>
      </w:r>
      <w:r>
        <w:rPr>
          <w:b w:val="0"/>
        </w:rPr>
        <w:t xml:space="preserve"> sysslar på detta sätt med utearbete, </w:t>
      </w:r>
      <w:r>
        <w:rPr>
          <w:b/>
        </w:rPr>
        <w:t>hon²</w:t>
      </w:r>
      <w:r>
        <w:rPr>
          <w:b w:val="0"/>
        </w:rPr>
        <w:t xml:space="preserve"> försummar sina syxslor i</w:t>
        <w:br/>
        <w:br/>
        <w:t xml:space="preserve">hemmet. Detta gör, att </w:t>
      </w:r>
      <w:r>
        <w:rPr>
          <w:b/>
        </w:rPr>
        <w:t>hon²</w:t>
      </w:r>
      <w:r>
        <w:rPr>
          <w:b w:val="0"/>
        </w:rPr>
        <w:t xml:space="preserve"> antingen får lega för det arbete </w:t>
      </w:r>
      <w:r>
        <w:rPr>
          <w:b/>
        </w:rPr>
        <w:t>hon²</w:t>
      </w:r>
      <w:r>
        <w:rPr>
          <w:b w:val="0"/>
        </w:rPr>
        <w:t xml:space="preserve"> 4zg. skatte-</w:t>
        <w:br/>
        <w:br/>
        <w:t xml:space="preserve">icke kan utföra, när </w:t>
      </w:r>
      <w:r>
        <w:rPr>
          <w:b/>
        </w:rPr>
        <w:t>hon²</w:t>
      </w:r>
      <w:r>
        <w:rPr>
          <w:b w:val="0"/>
        </w:rPr>
        <w:t xml:space="preserve"> sysslar på annat håll, eller genom att för- Yringt &amp; visst</w:t>
        <w:br/>
        <w:br/>
        <w:t xml:space="preserve">summa sina sysslor vansköter både det ena och det andra. änden, fl Även har tagits i betraktande att, därigenom att </w:t>
      </w:r>
      <w:r>
        <w:rPr>
          <w:b/>
        </w:rPr>
        <w:t>hustrun²</w:t>
      </w:r>
      <w:r>
        <w:rPr>
          <w:b w:val="0"/>
        </w:rPr>
        <w:t xml:space="preserve"> har värvad av</w:t>
        <w:br/>
        <w:br/>
        <w:t xml:space="preserve">extra inkomst, familjen beredes möjlighet att "längre behålla i hemmet gif? </w:t>
      </w:r>
      <w:r>
        <w:rPr>
          <w:b/>
        </w:rPr>
        <w:t>kvinna¹</w:t>
      </w:r>
      <w:r>
        <w:rPr>
          <w:b w:val="0"/>
        </w:rPr>
        <w:t>.</w:t>
        <w:br/>
        <w:br/>
        <w:t>halvvuxna barn. Dessa utföra då en del av de sysslor, som eljest (Forts.)</w:t>
        <w:br/>
        <w:br/>
        <w:t>"skolat utföras av modern. Jag vill icke påstå, att detta förfarande</w:t>
        <w:br/>
        <w:br/>
        <w:t>formellt överensstämmer med vederbörande förordning, men så till-</w:t>
        <w:br/>
        <w:br/>
        <w:t>lämpas den emellertid på många håll inom riket.</w:t>
      </w:r>
    </w:p>
    <w:p>
      <w:pPr>
        <w:pStyle w:val="Heading2"/>
      </w:pPr>
      <w:r>
        <w:t>5. Samuel Clason (Första kammarens nationella parti, man)</w:t>
      </w:r>
    </w:p>
    <w:p>
      <w:r>
        <w:rPr>
          <w:b w:val="0"/>
        </w:rPr>
        <w:t>Jag ber att få instämma i yrkandet på återremiss.</w:t>
        <w:br/>
        <w:br/>
        <w:t>Jag tror icke, att det korta och i och för sig ganska oklara utlåtandet av bevillningsutskottet står i full samklang med den skrivelse, som Riksdagen avlät år 1911; och jag tror i varje fall, att bevillningsutskottet åtminstone bort klarare söka påvisa sammanhanget mellan denna skrivelse och det nu framställda yrkandet. Jag anser mig dessutom — då min motion av år 1911 nu kommit på tal och bevillningsutskottets ärade ordförande nyss frambållit, att den motionen skulle ha gått ut på att äkta makar skulle taxeras var för sig -— böra säga, att åtminstone vad min motion angick pekade den visst icke företrädesvis på det målet. Jag tror mig kunna säga, att jag vid motionens behandling framhävde, att målet kunde vinnas på åtskilliga andra sätt, som enligt mitt förmenande vore vida lämpligare. Även med hänsyn därtill är det, som jag instämmer i yrkandet på återremiss. |</w:t>
      </w:r>
    </w:p>
    <w:p>
      <w:pPr>
        <w:pStyle w:val="Heading2"/>
      </w:pPr>
      <w:r>
        <w:t>6. Johan Östberg (Första kammarens nationella parti, man)</w:t>
      </w:r>
    </w:p>
    <w:p>
      <w:r>
        <w:rPr>
          <w:b w:val="0"/>
        </w:rPr>
        <w:t xml:space="preserve">Det kan icke nekas till att den fråga, som är föremål för motionen, står i sammanhang med den fråga, som 1911 års riksdagsskrivelse drog under Kungl. Maj:ts prövning. Därför hade det varit lämpligt, om i bevillningsutskottets betänkande en hänvisning till Riksdagens berörda skrivelse skett. Frågan är helt enkelt den, huruvida vid makars taxering sammanslagning skall ske av bådas inkomst. Således även bänsyn tagas till den inkomst </w:t>
      </w:r>
      <w:r>
        <w:rPr>
          <w:b/>
        </w:rPr>
        <w:t>hustrun²</w:t>
      </w:r>
      <w:r>
        <w:rPr>
          <w:b w:val="0"/>
        </w:rPr>
        <w:t xml:space="preserve"> kan förvärva av den beskaffenhet, att den kan göras till föremål för inkomsitaxering, även om förvärvet av inkomsten måste ske på bekostnad av </w:t>
      </w:r>
      <w:r>
        <w:rPr>
          <w:b/>
        </w:rPr>
        <w:t>hennes²</w:t>
      </w:r>
      <w:r>
        <w:rPr>
          <w:b w:val="0"/>
        </w:rPr>
        <w:t xml:space="preserve"> arbete i hemmet och motvägas av utgifter för hemmets skötande, som eljest icke skulle ifrågakommit. Det är alldeles tydligt, att den inkomst, som en </w:t>
      </w:r>
      <w:r>
        <w:rPr>
          <w:b/>
        </w:rPr>
        <w:t>hustru²</w:t>
      </w:r>
      <w:r>
        <w:rPr>
          <w:b w:val="0"/>
        </w:rPr>
        <w:t xml:space="preserve"> kan förvärva utom hemmet, ofta motsvaras av den utgift </w:t>
      </w:r>
      <w:r>
        <w:rPr>
          <w:b/>
        </w:rPr>
        <w:t>hon²</w:t>
      </w:r>
      <w:r>
        <w:rPr>
          <w:b w:val="0"/>
        </w:rPr>
        <w:t xml:space="preserve"> får vidkännas för hemmets skötande, och beskattning av denna inkomst innebär därför någonting ganska odiöst, isynnerhet då den sammanlägges med mannens inkomst, varigenom möjligheten till skatteavdrag för de lägre beskattade försvinner och skattetrycket kännbart ökas. Detta hindrar i sin mån personer, som reflektera över skatteförhållandena, att stifta äktenskap, enär de finna, att deras sammanlagda beskattning då blir högre än om de leva och beskattas var för sig. Det var detta som Riksdagen genom sin skrivelse år 1911 fäste Kungl. Maj:ts uppmärksamhet på.</w:t>
        <w:br/>
        <w:br/>
        <w:t xml:space="preserve">Nu har motionären här upptagit "ett speciellt fall, och här har sagts, att det praktiseras olika av olika taxeringsnämnder, att man på landgebygden icke alltid taxerar t. ex. den inkomst, som </w:t>
      </w:r>
      <w:r>
        <w:rPr>
          <w:b/>
        </w:rPr>
        <w:t>hustru²</w:t>
      </w:r>
      <w:r>
        <w:rPr>
          <w:b w:val="0"/>
        </w:rPr>
        <w:br/>
        <w:br/>
        <w:t xml:space="preserve">väckts fråga om, huruvida inkomst, som </w:t>
      </w:r>
      <w:r>
        <w:rPr>
          <w:b/>
        </w:rPr>
        <w:t>hustru²</w:t>
      </w:r>
      <w:r>
        <w:rPr>
          <w:b w:val="0"/>
        </w:rPr>
        <w:t xml:space="preserve"> har genom deltagande i sin mans lantbruksgöromål, om den uppgår till beskattningsbart</w:t>
        <w:br/>
        <w:br/>
        <w:t xml:space="preserve">värvad av belopp, borde taxeras. I dessa hänseenden må ju råda olika meningar girt </w:t>
      </w:r>
      <w:r>
        <w:rPr>
          <w:b/>
        </w:rPr>
        <w:t>kvinna¹</w:t>
      </w:r>
      <w:r>
        <w:rPr>
          <w:b w:val="0"/>
        </w:rPr>
        <w:t>. och olika praxis, men frågan är ur familjesynpunkt värd allt beak-</w:t>
        <w:br/>
        <w:br/>
        <w:t>tande. Att Riksdagen förut lagt saken i Kungl. Maj:ts hand borde lämpligen i detta sammanhang ha framhållits. Emellertid torde en motion, som endast berör en del av frågan, icke lämpligen nu böra föranleda till någon åtgärd från Riksdagens sida. Jag skall därför be att för min del hemställa, att kammaren med ogillande av motiveringen godkänner det slut vartill utskottet kommit.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