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w:t>
      </w:r>
    </w:p>
    <w:p>
      <w:r>
        <w:rPr>
          <w:b/>
        </w:rPr>
        <w:t xml:space="preserve">Datum: </w:t>
      </w:r>
      <w:r>
        <w:t>1913-03-05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Wilhelm Gullberg (Liberala samlingspartiet, man)</w:t>
      </w:r>
    </w:p>
    <w:p>
      <w:r>
        <w:rPr>
          <w:b w:val="0"/>
        </w:rPr>
        <w:t>Herr vice talman, mina herrar! Den här frågan om anteckning av s. k. lekmannadop har varit före vid tre kyrkomöten och där behandlats rätt grundligt, men afslagits. Att jag nu tillsammans med tvenne medmotionärer i Andra kammaren har tagit upp den i riksdagen, beror därpå, att jag anser, att ett tillmötesgående i motionens syfte är en gärd av rättvisa emot en avsevärd del af vårt folk.</w:t>
        <w:br/>
        <w:br/>
        <w:t>Om vi först fästa oss vid den här anteckningens historia, så var det år 1896 som Kungl. Maj:t utfärdade förordnandet om att s. k. lekmannadop skulle antecknas med formeln »döpt av lekman». Men härav uppstod mycken oro inom prästerliga och kyrkliga kretsar. Ja, det ansågs t. o. m. att denna bestämmelse var en sprängkil i den svenska statskyrkan, så farlig, att någonting liknande icke förekommit</w:t>
        <w:br/>
        <w:br/>
        <w:t>sedan Johan III:s dagar. Icke mindre än omkring 1,700 prästmän Om anteckpetitionerade och framburo sina betänkligheter i denna fråga till Kungl. ina av 7 k. Maj:t. Så blev då en ny förordning utfärdad, vilken bestämde, att” (Forts st lekmannadop skulle antecknas med formeln »icke av svenska kyrkan (Forts) döpt».</w:t>
        <w:br/>
        <w:br/>
        <w:t xml:space="preserve">Den där oron, som förefanns år 1897, var nog fullständigt obefogad. Svenska statskyrkan stod nog icke på gungande grundval mera då, än den gjorde sedan den nya formeln hade utfärdats. För min del är jag fullt öfvertygad om, att det var en onödig räddhågans ande, som svävade över svenska prästerskapet då. Får den svenska statskyrkan icke svårare fiender än den frikyrkliga rörelsen i landet, så står </w:t>
      </w:r>
      <w:r>
        <w:rPr>
          <w:b/>
        </w:rPr>
        <w:t>hon²</w:t>
      </w:r>
      <w:r>
        <w:rPr>
          <w:b w:val="0"/>
        </w:rPr>
        <w:t xml:space="preserve"> nog den här tidsåldern ut.</w:t>
        <w:br/>
        <w:br/>
        <w:t>Emellertid har jag nu väckt motion om, att vi skulle återfå den gamla af Kungl. Maj:t först anbefallda formeln, som kort och distinkt säger, att ett dop är skett: »döpt av lekman». Utskottet svarar i sin avstyrkande motivering, att det är särskilt tre skäl, som jag synes ha för motionen. De två första af utskottet anförda skälen äro fullt riktiga. Det första är: fastställande av en riktigare anteckning av dophandlingen; det andra är: undvikande av svårigheter vid dophandlingens prövande. Men det sista skälet, utskottet anför, nämligen att jag därmed skulle avse ett förvärvande av samma kyrkorättsliga värde åt det s. k. lekmannadopet, som det, dop av prästman äger, då hugger utskottet fullständigt i sten, ty jag vet mycket väl, att för att lekmannadop skall få kyrkorättsligt värde, så fordras konfirmation av det.</w:t>
        <w:br/>
        <w:br/>
        <w:t>Utskottet talar om, att dessa båda anteckningars kyrkorättsliga betydelse är densamma, och det är riktigt. Men jag vädjar särskilt till kammarens jurister, att jämföra uttrycken »icke av svenska kyrkan döpt» och »döpt af lekman», och sedan säga vilketdera uttrycket som försvarar sig bäst i svensk lag och författning. Jag har med nöje hört, särskilt i konstitutionsutskottet, hur man där sökt att få de bästa och mest uttrycksfulla ord in i vår svenska lagtext, på det att icke missförstånd må uppstå, och jag undrar, om icke samma uppfattning borde få göra sig gällande även på detta område. Sker det, har jag gott hopp om att min motion nu vinner Första kammarens bifall.</w:t>
        <w:br/>
        <w:br/>
        <w:t>Det uppstod med anledning af 1896 års förordning missförstånd, säger utskottet i motiveringen. Man ansåg på vissa ställen ute i landet, att lekmannadopet hade fått ett rättsligt erkännande, tillägges det. Man hade väl då genom upplysning bort söka rätta missförståndet. Men det gjorde man ej, utan i stället ändrade man formeln och gjorde den dunkel, så att man nu icke vet, vad den egentligen säger.</w:t>
        <w:br/>
        <w:br/>
        <w:t>En prästman yttrade härom dagen till mig, att det är väl ändå för mycket begärt, att vi präster skulle resa omkring i våra stora socknar och se efter och göra oss underrättade om, huruvida dopet har tillgått på ett sådant sätt, att vi med gott samvete kunna anteckna det med orden: »döpt av lekman», som innebära ett erkännande av att ett dop ägt rum. Ja, det vore för mycket begärt. Men jag hänvisar till andra ämbetsmän, som hava med bevittnade handlingar att göra, t. ex. häradshövdingar i stora domsagor. De få handlägga viktiga ärenden, och det sker ofta genom bevittnade handlingar, vilkas laglighet och riktighet de måste undersöka. Jag anser, att en sådan</w:t>
        <w:br/>
        <w:br/>
        <w:t>Om anteckundersökning bör åligga prästmannen, och icke är det en för stor</w:t>
        <w:br/>
        <w:br/>
        <w:t>&amp;. fordran med avseende å honom. Det är således icke meningen, att skulle kuska igenom socknen för att höra efter, om det gått riktigt till, utan han skall se efter, om handlingarna äro riktiga, om vittnena äro kända och ett som annat i den vägen.</w:t>
        <w:br/>
        <w:br/>
        <w:t>Ett af huvudskälen till att den motion, jag frambar här i fjol — vilken motion utskottet underligt nog säger ha varit mer antaglig än denna är, ehuru jag tror, att de av utskottets ledamöter, som då hade plats här i kammaren, röstade emot den — ett av huvudskälen till att den motionen föll var tvifvelsutan det skäl, som anfördes både i Första och Andra kammaren, nämligen att det icke rådde enighet om saken inom de frikyrkligas egna kretsar. Men nu, mina herrar, kan jag säga, att om den här lilla ändringen äro de frikyrkliga landet runt fullt eniga, och då hoppas jag, att kammaren godkänner motionen, till vilken jag ber att få yrka bifall.</w:t>
      </w:r>
    </w:p>
    <w:p>
      <w:pPr>
        <w:pStyle w:val="Heading2"/>
      </w:pPr>
      <w:r>
        <w:t>2. Hugo Hammarskjöld (Första kammarens moderata parti, man)</w:t>
      </w:r>
    </w:p>
    <w:p>
      <w:r>
        <w:rPr>
          <w:b w:val="0"/>
        </w:rPr>
        <w:t>Herr talman, mina herrar! Den fråga, som här föreligger till behandling, kan behandlas från olika synpunkter. Man kan göra, såsom utskottet har gjort, se den ur realitetssynpunkt, och den motivering, som utskottet har framlagt för sitt avstyrkande av motionen, finner jag för min del vara synnerligen god och bevisande. Men man kan också se den ifrån andra synpunkter, och det är särskilt en sådan som jag gärna här vill hava uttalad. Den lyder kort och gott så: riksdagen är icke rätt forum och i alla händelser icke lämpligt forum till att avgöra en sådan fråga som den förevarande.</w:t>
        <w:br/>
        <w:br/>
        <w:t>Om vi tänka efter vilka villkor som uppställas för valbarhet till riksdagen, skola vi finna, att i grundlagen finnes icke ett ord nämnt om att kandidaten skall tillhöra någon viss bekännelse. Om riksdagsmannakandidaten är kristen, jude, muhammedan, buddist, panteist eller atteist är absolut likgiltigt för hans valbarhet. Men detta betyder också, att det är teoretiskt möjligt, att Riksdagen kan till huru stor del som helst bestå af icke-kristna element. Kan det då vara lämpligt, att en så sammansatt församling skall vara domare i frågor, som röra den kristna religionen, i förevarande fall det kristna dopet? Nu vet jag väl, att det är en mycket ömtålig sak att våga yttra tvivel om att Riksdagen icke skulle vara behörig att upptaga en fråga till behandling. Det betraktas som ett brott mot Riksdagens heliga majestät. Jag skyndar mig därför att icke endast medgifva, utan uttryckligen betona, ja, med huru många spikar som helst spika fast, att Riksdagen har rätt att sysselsätta sig med allt mellan himmel och jord, om man undantager de få saker, som omnämnas i grundlagen såsom förbjudna. Om herr Lindhagen eller någon annan motionär giver Riksdagen anledning, finnes ingenting, som hindrar Riksdagen att t. ex. börja tolka profeten Esaias eller diskutera treenighetsläran eller debattera och, varför icke, votera om Guds tillvaro. Någonting liknande har hänt förr i en riksförsamling, nämligen i franska nationalkonventet vid den stora revolutionen. Jag vill icke bestämt påstå, att det blev votering eller kom till debatt om Guds avsättande, men vad man vet är, att efter någon tid nationalkonventet fann sig föranlåten dekretera,</w:t>
        <w:br/>
        <w:br/>
        <w:t>att det fanns ett högsta väsen. Riksdagen har således rätt att sysselsätta sig med allt, även religiösa frågor av huru stor betydelse som helst. Ingenting finnes, som kan hindra det, nej ingenting, om icke möjligen det sunda förnuftet, ifall det får tala. Och nog synes det mig, att det sunda förnuftet borde kunna övertyga oss, säga oss litet var, att det icke är lämpligt, att en riksförsamling, som, jag upprepar det ännu en gång, kan till huru stor del som helst bestå av ickekristna element och som faktiskt i denna stund väl torde innehålla icke så få icke-kristna element, att en sådan församling skall sätta sig till domare angående det kristna dopet.</w:t>
        <w:br/>
        <w:br/>
        <w:t xml:space="preserve">Nu säger motionären, att det är bara en bokföringsfråga. Bara en bokföringsfråga? Der kommer till prästen herr vem som helst eller, varför icke, </w:t>
      </w:r>
      <w:r>
        <w:rPr>
          <w:b/>
        </w:rPr>
        <w:t>fru²</w:t>
      </w:r>
      <w:r>
        <w:rPr>
          <w:b w:val="0"/>
        </w:rPr>
        <w:t xml:space="preserve"> eller </w:t>
      </w:r>
      <w:r>
        <w:rPr>
          <w:b/>
        </w:rPr>
        <w:t>fröken²</w:t>
      </w:r>
      <w:r>
        <w:rPr>
          <w:b w:val="0"/>
        </w:rPr>
        <w:t xml:space="preserve"> vem som helst och anmäler: jag har döpt ett barn, det har skett i den treenige Gudens namn, i rent och obemängt vatten och i den rätta intentionen. Jag fordrar, att det skall inskrivas i kyrkoboken såsom döpt. Då skall prästen, som vet, att kyrkolagen innehåller klara och bestämda stadganden, huru det kristna dopet skall gå till och vem, som skall förrätta det, tvingas att mot sin övertygelse undersöka en handling, som han måste anse vara laglös, och inskriva den uti kyrkoboken — och detta skulle bara vara en bokföringsfråga! Jag kan icke förstå annat än att det i första hand är en kyrkolagsfråga och, om man tager hänsyn till prästens samvete, en samvetsfråga. Med den uppfattning, som jag sålunda har, är det klart, att jag anser, att Riksdagen bör utan vidare avslå motionen, därför att den icke rättvisligen bör behandlas av Riksdagen.</w:t>
        <w:br/>
        <w:br/>
        <w:t>Nu tager jag för givet, att i den diskussion, som följer, komma att upptagas de reella skäl, som blivit anförda för och emot motionen. Jag för min del ber att icke behöva deltaga i denna diskussion, därför att jag icke anser mig vara sakkunnig på området. Här finnas åtskilliga inom denna församling, som äro sakkunniga, kanske åtskilliga som anse sig själva vara sakkunniga. Jag är det i alla fall icke, och därför skall jag sluta med att både på de skäl utskottet anfört och de skäl jag själv särskilt betonat yrka bifall till utskottets hemställan och avslag å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