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1255</w:t>
      </w:r>
    </w:p>
    <w:p>
      <w:r>
        <w:rPr>
          <w:b/>
        </w:rPr>
        <w:t xml:space="preserve">Datum: </w:t>
      </w:r>
      <w:r>
        <w:t>1913-05-21</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Lindqvist (Socialdemokraterna, man)</w:t>
      </w:r>
    </w:p>
    <w:p>
      <w:r>
        <w:rPr>
          <w:b w:val="0"/>
        </w:rPr>
        <w:t>Herr talman! Jag skall för min del fatta mig mycket kort, så herrarna behöva icke alls börja sjunga.</w:t>
        <w:br/>
        <w:br/>
        <w:t xml:space="preserve">Jag har begärt ordet huvudsakligen därför, att jag vill ha till protokollet antecknat, att jag kommer att rösta emot det föreliggande förslaget. Jag gör det huvudsakligen därför, att jag anser, att denna pensionering icke på långt när fyller vad som var avsett med densamma. Kommitterade för detta lagförslag ha räknat med att det skulle vara nödvändigt för en människa att ha en inkomst av 300, resp. 250 kronor för att leva utan att behöva anlita fattigvården. De skrevo också sitt förslag så, att det skulle vara möjligt för en invalid, som var fullkomligt medellös, att få detta understöd eller denna pension, vad man nu vill kalla det, det vill säga 300 kronor för man och 250 kronor för </w:t>
      </w:r>
      <w:r>
        <w:rPr>
          <w:b/>
        </w:rPr>
        <w:t>kvinna¹</w:t>
      </w:r>
      <w:r>
        <w:rPr>
          <w:b w:val="0"/>
        </w:rPr>
        <w:t>. Denna bestämmelse i $ 11 om det kommunala tillskottet ändrades sedan av regeringen till det bättre, så att det möjliggjordes för personer att få ett sådant tillskott av kommunen utan att vara fullkomligt utblottade. Denna paragraf i Kungl. Maj:ts förslag har emellertid nu av utskottet strukits, utan att något annat satts i stället, som skulle kunna ersätta detta. Det har sagts, och med rätta, att övergångsbestämmelserna i en lag, sådan som denna, äro det allra viktigaste, och denna $ 11, den skulle ju vara ett led i övergångsbestämmelserna. Genom densamma skulle det ju möjliggöras för kommunerna att lämna ett tillskott till pensionerna, ett tillskott som ju skulle vara synnerligen välbehövligt, innan avgiftspensionerna ännu hade hunnit börja verka i sin fulla utsträckning. Man kan ju säga, att mycket går att förbättra, att åtskiligt av vad man icke nu kan få, kan komma framdeles, och även jag vill tro, att så skall bli möjligt. Men jag har litet svårt att föreställa mig, att sedan lagen några år varit i kraft, och avgiftspensionerna börjat utgå till större belopp, det skall bli möjligt att införa en sådan bestämmelse som denna, som ju var avsedd att verka under den tid, då avgiftspensionerna ännu icke hade</w:t>
        <w:br/>
        <w:br/>
        <w:t>belopp utan att anlita fattigvården. Ty ingen vill väl ändå påstå, att det är möjligt att leva på 75 kronor om året, till vilket belopp pensionerna första året skola uppgå, och ingen vill väl heller göra gällande, att sedan övergångstiden gått till ända, det skall bli möjligt för en person att draga sig fram på 150 kronor om året. Jag har visserligen läst i en tidning här om dagen, att det skulle visat sig möjligt åtminstone på en del orter att draga sig fram på ganska blygsamma belopp, och det är ju tydligt, att när det gäller att peka på en provins, där detta framför allt skulle vara möjligt, så är det Småland, som man har velat framhålla. Men jag vill säga, att jag tror, att även om smålänningarna äro vana vid att draga sig fram. med synnerligen små inkomster, så blir det även i Småland omöjligt att draga sig fram på dessa små pensionsbelopp.</w:t>
        <w:br/>
        <w:br/>
        <w:t>Det har sagts av en talare, det var visst greve Hamilton, om jag icke minns fel, att det skall bli glädjestrålar i landet, när folket får veta, att lagen gått igenom, men jag tror icke, att det blir från många ansikten sådana glädjestrålar skola komma, när man får veta, vad lagen i själva verket ger. Icke tror jag, att det blir många glädjestrålande ansikten inom industriarbetarnes klass, icke tror jag, att dessa grupper, där de få ett tillägg i sin skatt av 11 eller 16 kronor, komma att glädja sig åt att denna lag går igenom. Det är ju för övrigt alldeles orimligt att bestämma åldersgränsen till 67 år i en lag, som omfattar även industriarbetarne, av vilka ju så ofantligt många arbeta i sådana hälsofarliga yrken, att de aldrig uppnå en så hög levnadsålder. Det synes mig, att 67-årsåldersgränsen är för hög, vilka människor det än gäller, men alldeles särskilt med hänsyn till dessa industriarbetare. Icke kan man väl tro, att dessa skola glädja sig så särdeles åt att få börja betala dessa höga avgifter, när de ha så ytterligt liten utsikt att någonsin få något tillbaka för de avgifter de utbetalat.</w:t>
        <w:br/>
        <w:br/>
        <w:t>Ja, herr talman, jag har som arbetare velat, innan voteringen börjar, och dess resultat blir känt, säga, att jag icke tror, att glädjen i landet över denna lag kommer att bli så stor, som en del herrar här ha velat hålla före. Jag ber, herr talman, att få yrka avslag på det föreliggande förslaget.</w:t>
      </w:r>
    </w:p>
    <w:p>
      <w:pPr>
        <w:pStyle w:val="Heading2"/>
      </w:pPr>
      <w:r>
        <w:t>2. Anders Råstock (Socialdemokraterna, man)</w:t>
      </w:r>
    </w:p>
    <w:p>
      <w:r>
        <w:rPr>
          <w:b w:val="0"/>
        </w:rPr>
        <w:t>Herr talman! Jag skall i likhet med den föregående talaren icke länge upptaga kammarens tid, men jag har ansett, att då jag uttryckligen sagt, och även i denna stund har den principiella uppfattningen, att ett förslag om arbetsgivarebidrag bör på något sätt inarbetas i lagen, jag också bort avgiva en förklaring till att jag för min del det oaktat kunnat instämma i ett anförande, som utmynnade i yrkande om bifall till det föreliggande förslaget.</w:t>
        <w:br/>
        <w:br/>
        <w:t>Jag anhåller emellertid att först få säga ett par ord om en punkt av den detaljkritik mot det föreliggande förslaget, som</w:t>
        <w:br/>
        <w:br/>
        <w:t>här förekommit. En talare på göteborgsbänken framhöll särskilt, att förslaget skulle komma att fördärva folkkaraktären, fördärva sparsamheten. Jag skall då be att få omtala, hurudana förhållandena i detta fall äro inom det verksamhetsområde, som jag närmast varit i tillfälle att taga kännedom om. Jag syftar härmed på de utav enskilda järnvägarnes personal, som i likhet med statsbanornas personal och en stor del övriga statstjänare under åtskilliga år haft sin pensionsfråga ordnad. Jag skall be att få omnämna, hurudana verkningarna härav enligt min uppfattning varit, men nödgas säga, att detta endast blir en sub- Jektiv uppfattning, då vi ju sakna statistik på området. Men det har dock visat sig, att just bland dessa grupper av statstjänare, dessa grupper av kommunikationstjänstemän, som haft sina pensionsförhållanden ordnade sedan jämförelsevis lång tid tillbaka, har självhjälpsverksamheten florerat mycket kraftigt, och man har försökt, så långt det varit möjligt att skapa utvägar för att man skulle kunna mötse en mera tryggad ålderdom. Man har sökt att skaffa sig tak över huvudet för ålderdomen, man har sökt skaffa sig livförsäkring och, som sagt, på alla sätt sökt att så långt det varit möjligt sörja för sin ålderdom. Förhållandena ha sålunda icke utvecklat sig i den riktning beträffande denna del av vårt lands befolkning, som herr Lundström trodde att de skulle göra med avseende på landets innebyggare i dess helhet, om detta förslag ginge igenom. Det är ju dessutom så, att om man skall utdraga konsekvenserna riktigt långt i det avseende, som herr Lundström talade om, så skulle ju sparsamhetslusten kunna tänkas bli eller blivit förstörd även i de samhällskretsar och den kategori av statstjänstemän, som herr Lundström tillhör, vilken ju också under många år haft sina pensionsförhållanden ordnade.</w:t>
        <w:br/>
        <w:br/>
        <w:t>Detta sagt mera i förbigående. Jag lovade att säga, varför jag kunnat vara med om bifall till det föreliggande förslaget, och jag skall söka uttrycka mig så kortfattat som möjligt.</w:t>
        <w:br/>
        <w:br/>
        <w:t>Det är ju så, att om vi läsa förslaget, sådant det verkligen föreligger, och se till, huruvida det finnes möjlighet att inarbeta arbetsgivarbidrag häri, man enligt min uppfattning måste anse, att vad herr Branting anfört rörande 8 34 äger sin fulla giltighet. Jag skallockså i detta sammanhang be att få omnämna, att de enskilda järnvägarnas arbetsgivare — jag underlåter icke att giva ett erkännande, då ett sådant verkligen kan givas — här gått före med ett ganska gott exempel. Om man skulle våga förutsätta, att andra arbetsgivare skulle slå in på samma stråt och alltså avsätta ett visst belopp för varje arbetare och år, och inbetalat på sätt par. 34 angiver, så medför ju detta, enligt vad som sagts mig, och som för övrigt framgår av utskottsbetänkandet, att exempelvis ett belopp av 10 kronor inbetalt vid 17 års ålder ger 7 kronor 50 öre i ökad pension. Alla skäl i världen tala sålunda för, att alla de arbetsgivare, som förklarat sig vilja hjälpa sina arbetare i detta fall, borde anlita den utväg,</w:t>
        <w:br/>
        <w:br/>
        <w:t>"ring början i rätt riktning använda sitt inflytande till att förmå</w:t>
        <w:br/>
        <w:br/>
        <w:t>så många arbetsgivare som möjligt att begagna sig av det tillfälle, som i 8 34 av det föreliggande förslaget erbjuder sig.</w:t>
        <w:br/>
        <w:br/>
        <w:t>Herr talman! Jag ber att med dessa ord få yrka bifall till det föreliggande förslaget.</w:t>
        <w:br/>
        <w:br/>
        <w:t>Herr Wijk: Herr talman! Jag begärde ordet för att rätta två faktiska misstag, som förekommit.</w:t>
        <w:br/>
        <w:br/>
        <w:t>Herr Nilsson i Bonarp påstod, att den slutliga fondbildningen enligt aktuarien Flodströms förslag skulle representera 5 miljarder. Den riktiga siffran är 3,6 miljarder.</w:t>
        <w:br/>
        <w:br/>
        <w:t>Herrar Nilson i Örebro och Nilsson i Bonarp sökte göra gällande, att i det Flodströmska förslaget redan det första året ett statsbidrag uppgående till 27 miljoner kronor skulle vara behövligt. Detta är ett misstag av dessa herrar, som förklaras därav, att de hämtat sina uppgifter från regeringsrådet Lindstedt, som å sin sida missförstått saken.</w:t>
      </w:r>
    </w:p>
    <w:p>
      <w:pPr>
        <w:pStyle w:val="Heading2"/>
      </w:pPr>
      <w:r>
        <w:t>3. Hjalmar Branting (Socialdemokraterna, man)</w:t>
      </w:r>
    </w:p>
    <w:p>
      <w:r>
        <w:rPr>
          <w:b w:val="0"/>
        </w:rPr>
        <w:t>Herr talman! Den ärade partivän till mig, som nyss hade ordet, framhöll, att glädjen i landet över) förslagets antagande nog icke bleve så stor, som här påståtts. Jag tror nog också, att det icke är 'värt att tala så mycket om glädjen i landet, när man där får erfara övergångsbestämmelserna. Det kan emellertid icke hjälpas, att, när man talar om detta och sätter en smula nedsatt betyg på denna stämning man ändå måste tillägga, att misstämningen, om förslaget faller, runt om i landet blir å andra sidan mycket stor och mycket allmän. Jag tror icke, att man uttrycker hela sanningen, om man icke tar med denna sida av saken i beräkningen.</w:t>
        <w:br/>
        <w:br/>
        <w:t xml:space="preserve">Jag begärde ordet med anledning närmast av ett uttalande av herr Pettersson i Södertälje, vari han sade, att jag skulle gjort ett mycket starkt uttalande mot beräkningarna i hans motion, endast på den grund, att där var det räknat med 4 9/0 medan ju utskottet kommit upp till 3,85 Yo. Detta är icke riktigt. Förhållandet är, som jag också framhöll, att vederbörande ansåg, att man räknat så alltför försiktigt i Kungl. Maj:ts förslag, att den sammanlagda effekten, om man räknade med något mindre försiktighet, skulle bliva så stor, att man kunde nonchalera hela den stora skillnaden mellan </w:t>
      </w:r>
      <w:r>
        <w:rPr>
          <w:b/>
        </w:rPr>
        <w:t>kvinnornas¹</w:t>
      </w:r>
      <w:r>
        <w:rPr>
          <w:b w:val="0"/>
        </w:rPr>
        <w:t xml:space="preserve"> avgiftspensioner, som i det kungl. förslaget beräknades till blott 23 9/0, och männens, som beräknades till 30 9/0, en skillnad som ju medförde enligt det kungl. förslaget en omedelbar statsutgift av 132 millioner kronor för att åter utplånas, hela denna skillnad ansåg vederbörande, att man kunde eliminera undan blott genom att peka på, att beräkningarna voro i vissa avseenden kanske väl försiktigt gjorda! Det var mot sådana uttalanden, som jag riktade min anmärkning, och den anmärkningen står jag för; jag tror den är riktig.</w:t>
        <w:br/>
        <w:br/>
        <w:t>Av herr Lindhagen framställdes en direkt fråga, varför hans Lag om allmotion icke blivit omnämnd. Han bad om en upplysning. Jag "Ah Persiens skall då omnämna, att denna motion ju går ut på »att Riksdagen försä 7 vid avgörandet av förslaget till lag om folkpensionering måtte (Forts.) genom förslagets formulering eller annorledes tillse, att pensionsavgifternas uttagande icke verkar ofördelaktigt på utövningen av politisk och möjligen även kommunal rösträtt genom föranledande av ökat häftande för oguldna utskylder».</w:t>
        <w:br/>
        <w:br/>
        <w:t>Ja, jag får ärligt bekänna, att vi talade om saken i utskottet, men vi blevo bet på, huru vi skulle kunna ställa till så, att ökade utgifter för personer, som hade ont om slantarna, ökade utgifter, som visserligen skulle uttagas för ett så gott ändamål som deras egen försäkring, detta vidgade hål i deras portmonnä samtidigt icke måtte verka såsom ett sådant hål i portmonnän och icke vålla svårigheter att betala utskylderna. Den saken, som låg närmast att tänka på, skulle ju vara att framhålla det oriktiga i att sammankoppla rösträtten med betalningen av de utskylder, som det här är fråga om, men den saken föll naturligtvis utom utskottets område att inlåta sig på, och då vi sålunda stodo som levande frågetecken inför ett enligt vår uppfattning olösligt problem, så blev det icke skrivet något härom i motiveringen.</w:t>
        <w:br/>
        <w:br/>
        <w:t>Tin sist vill jag blott, eftersom jag fått ordet, säga, att jag vid denna timme icke känner någon lust att besvara det anförande, som herr Starbäck höll och som han riktade mot mig; jag tror, att han själv vid närmare besinnande skall finna svårt att stå för allt han där sagt.</w:t>
      </w:r>
    </w:p>
    <w:p>
      <w:pPr>
        <w:pStyle w:val="Heading2"/>
      </w:pPr>
      <w:r>
        <w:t>4. Raoul Hamilton (Frisinnade folkpartiet, man)</w:t>
      </w:r>
    </w:p>
    <w:p>
      <w:r>
        <w:rPr>
          <w:b w:val="0"/>
        </w:rPr>
        <w:t>Herr talman! Blott ett par ord. I de motioner, som blivit väckta beträffande 500-kronorsklassen, har det förutsatts, att denna klass även skulle omfatta jordbrukare, som hade denna inkomst och inkomsttagare i städer, där det bevillningsfria avdraget uppgår till mer än 450 kronor. Det visade sig likväl inom utskottet, att det var förenat med åtskilliga formella svårigheter att formulera paragrafen såsom motionärerpa tänkt sig. Av den anledningen framställdes ett yrkande inom utskottet av vice talmannen, med vilken jag förenade mig, vari han hemställde, att Riksdagen måtte avlåta en skrivelse till Kungl. Maj:t av innehåll, att Kungl. Maj:t ville låta utreda och till nästa år framlägga ett förslag, som ginge ut på, att ägare eller brukare av jord med ett taxeringsvärde av 5,000 kronor måtte räknas till denna klass. Vid den provisoriska omröstningen bifölls tillstyrkandet av en dylik skrivelse, men vid den definitiva voteringen blev det avslaget. I stället inlade emellertid utskottet i sin motivering det önskemålet, att Kungl. Maj:t måtte taga frågan under övervägande. Civilministern har i dag i sitt anförande också ingivit oss förhoppning om att vi till nästa år hava att emotse ett förslag till omformulering av åsyftade lagparagraf, varigenom önskemålet skulle uppfyllas.</w:t>
        <w:br/>
        <w:br/>
        <w:t>Jag ber emellertid att få understryka vad utskottet här i sin motivering har uttalat eller sin förvissning om att herr statsrådet och chefen för civildepartementet vill draga försorg om att dessa småbrukare, vilkas jordbrukstaxeringsvärde uppgår till 4,000 å 5,000 kronor, måtte föras till 500-kronorsklassen.</w:t>
        <w:br/>
        <w:br/>
        <w:t>Därjämte utgår av allmänna medel ett tillägg till pensionen för pensionstagare, som är till arbete varaktigt oförmögen och</w:t>
      </w:r>
    </w:p>
    <w:p>
      <w:pPr>
        <w:pStyle w:val="Heading2"/>
      </w:pPr>
      <w:r>
        <w:t>5. Bernhard Eriksson (Socialdemokraterna, man)</w:t>
      </w:r>
    </w:p>
    <w:p>
      <w:r>
        <w:rPr>
          <w:b w:val="0"/>
        </w:rPr>
        <w:t>Herr talman! Jag förstår mycket väl, att kammarens ledamöter efter denna långa behandling av principfrågan gärna vilja gå hem, men det är några saker till, som icke kunna förbigås. Denna lagstiftning är så viktig, att det kan ju finnas flera synpunkter än de, som kommit till uttryck under principdebatten, som behöva framhållas.</w:t>
        <w:br/>
        <w:br/>
        <w:t>Här i 6 $ föreligger nu frågan om barnpensioneringen. Den har av utskottet avstyrkts, och jag har för min del biträtt det resultat, utskottet har kommit till, under den fulla förvissningen att vederbörande departementschef skall göra allt vad på honom ankommer för att lägga fram ett förslag i den riktningen, så snart ske kan. Utskottets motivering är ju på den punkten välvilligt stämd mot förslaget.</w:t>
        <w:br/>
        <w:br/>
        <w:t xml:space="preserve">I samband med detta förslag har emellertid av herr Lindhagen väckts en motion, där han tänker sig, att samhället kunde göra någonting mera för ogifta barnaföderskor och frånskilda </w:t>
      </w:r>
      <w:r>
        <w:rPr>
          <w:b/>
        </w:rPr>
        <w:t>hustrur²</w:t>
      </w:r>
      <w:r>
        <w:rPr>
          <w:b w:val="0"/>
        </w:rPr>
        <w:t>, än vad man tänkt sig genom denna barnpensionering. Nu är det synnerligen upprörande förhållanden, som råda i dessa avseenden. Vi känna ju alla till, att det finns gifta män, som</w:t>
        <w:br/>
        <w:br/>
        <w:t xml:space="preserve">utan vidare övergiva sina </w:t>
      </w:r>
      <w:r>
        <w:rPr>
          <w:b/>
        </w:rPr>
        <w:t>hustrur²</w:t>
      </w:r>
      <w:r>
        <w:rPr>
          <w:b w:val="0"/>
        </w:rPr>
        <w:t xml:space="preserve">, och fäder till barn, födda utom äktenskapet, som utan vidare övergiva dessa. Nu är meningen, att lagberedningen skulle utarbeta ett lagförslag, vars strängare bestämmelser skulle kunna sätta starkare press på dessa försumliga barnafäder. Men det är icke nog med en sådan lagstiftning. Herr Lindhagen har pekat i sin motion på ett annat sätt, som står samhället till buds, att hjälpa dessa olyckliga </w:t>
      </w:r>
      <w:r>
        <w:rPr>
          <w:b/>
        </w:rPr>
        <w:t>kvinnor¹</w:t>
      </w:r>
      <w:r>
        <w:rPr>
          <w:b w:val="0"/>
        </w:rPr>
        <w:t xml:space="preserve">, att samhället på visst sätt övertager skyldigheten att uttaga de bidrag, som familjefäderna äro skyldiga att giva. Hur gestalta sig förhållandena härmed för närvarande? Jag känner, och vi känna ju alla ifrån vår bekantskapskrets, hur det härvid brukar gå till. Barnafadern stäms inför rätta, han förklaras skyldig och blir dömd att betala ett visst belopp att utgå månads- eller årsvis till barnets underhåll. Mannen är lös arbetare eller kanske har någon förmögenhet, men dock icke fast boplats. Han kan icke förmås att fullgöra sin betalningsskyldighet, och </w:t>
      </w:r>
      <w:r>
        <w:rPr>
          <w:b/>
        </w:rPr>
        <w:t>kvinnan¹</w:t>
      </w:r>
      <w:r>
        <w:rPr>
          <w:b w:val="0"/>
        </w:rPr>
        <w:t xml:space="preserve"> kan icke på något sätt utfå vad domstolen tilldömt barnet i understöd. </w:t>
      </w:r>
      <w:r>
        <w:rPr>
          <w:b/>
        </w:rPr>
        <w:t>Hon²</w:t>
      </w:r>
      <w:r>
        <w:rPr>
          <w:b w:val="0"/>
        </w:rPr>
        <w:t xml:space="preserve"> får betala rättegångskostnaderna men får icke ett enda öres hjälp till barnets underhåll. Sådana fall hända dag efter dag, och det är verkligen upprörande.</w:t>
        <w:br/>
        <w:br/>
        <w:t xml:space="preserve">I våra grannländer, såväl i Norge som Danmark, har man kommit längre och infört en strängare lagstiftning på detta område, dels när det gäller möjligheten för </w:t>
      </w:r>
      <w:r>
        <w:rPr>
          <w:b/>
        </w:rPr>
        <w:t>kvinnan¹</w:t>
      </w:r>
      <w:r>
        <w:rPr>
          <w:b w:val="0"/>
        </w:rPr>
        <w:t xml:space="preserve"> att få rättvisa, dels när det gäller garantien att kunna utfå det utdömda beloppet. Särskilt 1 Danmark har samhället ställt sig i viss mån såsom ekonomisk garant för, att modern skall utfå bidrag av fadern. I Danmark har införts en sådan lagstiftning, att den frånskilda </w:t>
      </w:r>
      <w:r>
        <w:rPr>
          <w:b/>
        </w:rPr>
        <w:t>hustrun²</w:t>
      </w:r>
      <w:r>
        <w:rPr>
          <w:b w:val="0"/>
        </w:rPr>
        <w:t xml:space="preserve"> eller den ogifta modern får gå till en viss myndighet och i förskott hämta de belopp, som barnets fader skall betala. Därigenom överflyttas på samhället rätten att indriva detta av fadern. Det är tydligt och klart, att myndigheterna ha mycket större möjlighet att göra sin rätt gällande än en ensam </w:t>
      </w:r>
      <w:r>
        <w:rPr>
          <w:b/>
        </w:rPr>
        <w:t>kvinna¹</w:t>
      </w:r>
      <w:r>
        <w:rPr>
          <w:b w:val="0"/>
        </w:rPr>
        <w:t xml:space="preserve"> har. Nu har i motionen yrkats på en lagstiftning lik den danska, att frånskilda </w:t>
      </w:r>
      <w:r>
        <w:rPr>
          <w:b/>
        </w:rPr>
        <w:t>hustrur²</w:t>
      </w:r>
      <w:r>
        <w:rPr>
          <w:b w:val="0"/>
        </w:rPr>
        <w:t xml:space="preserve"> och ogifta </w:t>
      </w:r>
      <w:r>
        <w:rPr>
          <w:b/>
        </w:rPr>
        <w:t>mödrar²</w:t>
      </w:r>
      <w:r>
        <w:rPr>
          <w:b w:val="0"/>
        </w:rPr>
        <w:t xml:space="preserve"> av samhället skulle få hjälp i dessa avseenden, utan att det hade karaktär av fattigunderstöd. Jag har avgivit en reservation, däri jag har yrkat bifall till herr Lindhagens motion, och jag ber sålunda, att få yrka bifall till föredragna paragraf, men att kammaren därjämte antager ett skrivelseförslag i överensstämmelse med min reservation, som är detsamma som motionärens förslag.</w:t>
      </w:r>
    </w:p>
    <w:p>
      <w:pPr>
        <w:pStyle w:val="Heading2"/>
      </w:pPr>
      <w:r>
        <w:t>6. Hjalmar Wijk (Liberala samlingspartiet, man)</w:t>
      </w:r>
    </w:p>
    <w:p>
      <w:r>
        <w:rPr>
          <w:b w:val="0"/>
        </w:rPr>
        <w:t>Herr talman, mina herrar! När jag i dag fäste uppmärksamheten på de äventyrliga konsekvenser, som följa med utskottets formulering av 3 mom. i denna paragraf, vilken innehåller bestämmelserna om 50-kronors avdraget, så känner jag mig skyldig väcka förslag, som möjliggör för utskottet att vidtaga rättelse av detta. Då nu Första kammaren har godkänt</w:t>
        <w:br/>
        <w:br/>
        <w:t>utskottets förslag, kan icke något återremissyrkande göras, utan Lag om allfrågan torde lämpligast lösas så, att denna kammare fattar be- "försäkring — slut att godkänna utskottets förslag med uteslutande av bestäm- Nm” melsen om 50-kronorsavdraget, i vilket fall ärendet återgår till (Forts.) utskottets förnyade behandling.</w:t>
        <w:br/>
        <w:br/>
        <w:t xml:space="preserve">Jag ber därför få yrka, att 3 mom. i 6 &amp; måtte få följande lydelse: »Pensionstillägget utgör för år räknat ifråga om pensionstagare, som ej åtnjuter någon inkomst, för man 150 och för </w:t>
      </w:r>
      <w:r>
        <w:rPr>
          <w:b/>
        </w:rPr>
        <w:t>kvinna¹</w:t>
      </w:r>
      <w:r>
        <w:rPr>
          <w:b w:val="0"/>
        </w:rPr>
        <w:t xml:space="preserve"> 140 kronor, och ifråga om pensionstagare, som åtnjuter inkomst, nämnda belopp med avdrag av halva årsinkomsten.»</w:t>
      </w:r>
    </w:p>
    <w:p>
      <w:pPr>
        <w:pStyle w:val="Heading2"/>
      </w:pPr>
      <w:r>
        <w:t>7. Carl Lindhagen (Socialdemokraterna, man)</w:t>
      </w:r>
    </w:p>
    <w:p>
      <w:r>
        <w:rPr>
          <w:b w:val="0"/>
        </w:rPr>
        <w:t xml:space="preserve">I anslutning till det anförande, som Jag nyss hade, skulle jag egentligen vid denna paragraf yrka, att pensionerna bleve lika för hela folket, d. v. s. lika pension för män och </w:t>
      </w:r>
      <w:r>
        <w:rPr>
          <w:b/>
        </w:rPr>
        <w:t>kvinnor¹</w:t>
      </w:r>
      <w:r>
        <w:rPr>
          <w:b w:val="0"/>
        </w:rPr>
        <w:t xml:space="preserve">, och då skulle orden 30 procent för män och 24 procent för </w:t>
      </w:r>
      <w:r>
        <w:rPr>
          <w:b/>
        </w:rPr>
        <w:t>kvinnor¹</w:t>
      </w:r>
      <w:r>
        <w:rPr>
          <w:b w:val="0"/>
        </w:rPr>
        <w:t xml:space="preserve"> utbytas mot 27 procent för varje pensionsberättigad. Emellertid har det anförande, jag hade till förmån för </w:t>
      </w:r>
      <w:r>
        <w:rPr>
          <w:b/>
        </w:rPr>
        <w:t>kvinnorna¹</w:t>
      </w:r>
      <w:r>
        <w:rPr>
          <w:b w:val="0"/>
        </w:rPr>
        <w:t xml:space="preserve">, föranlett mig att yrka uppskov till nästa år, och då det icke är någon utsikt alls att få bifall till ett sådant yrkande om dessa 27 procent samt </w:t>
      </w:r>
      <w:r>
        <w:rPr>
          <w:b/>
        </w:rPr>
        <w:t>hustrurnas²</w:t>
      </w:r>
      <w:r>
        <w:rPr>
          <w:b w:val="0"/>
        </w:rPr>
        <w:t xml:space="preserve"> ställning ej heller därigenom i huvudsak förbättras, så nöjer jag mig med denna erinran.</w:t>
        <w:br/>
        <w:br/>
        <w:t xml:space="preserve">Vad angår den motion, som har avgivits av mig och herr Hellberg i Lycksele i Andra kammaren och herr Berglund i Första kammaren, fastän den sistnämndes namn av misstag fallit bort i herr Erikssons i Grängesberg reservation, så substituerar den i vis mån det, som stod om barnpensioneringen i Kungl. Maj:ts förslag. Det gäller en viktig sak, som med fördel användes i Danmark, och det finnes ju knappast något svårare, än att för dessa ogifta </w:t>
      </w:r>
      <w:r>
        <w:rPr>
          <w:b/>
        </w:rPr>
        <w:t>mödrar²</w:t>
      </w:r>
      <w:r>
        <w:rPr>
          <w:b w:val="0"/>
        </w:rPr>
        <w:t xml:space="preserve"> få ut bidrag från den försumliga barnafadern. Det går i Danmark till så, att under vissa förutsättningar, som herr Eriksson i Grängesberg utvecklade, få </w:t>
      </w:r>
      <w:r>
        <w:rPr>
          <w:b/>
        </w:rPr>
        <w:t>mödrarna²</w:t>
      </w:r>
      <w:r>
        <w:rPr>
          <w:b w:val="0"/>
        </w:rPr>
        <w:t xml:space="preserve"> förskott av allmänna medel, som sedan det allmänna tager igen av barnafadern. Nu är det meningen med skrivelseförslaget, att en anmodan göres till lagberedningen att taga denna sak under övervägande. Lagberedningen har icke fått något sådant uppdrag. Nu ställer sig utskottet välvilligt nog till saken och tror, att lagberedningen sannolikt kommer att överväga densamma. Jag har frågat en ledamot av lagberedningen härom, och han sade, att den icke tagit frågan under övervägande. På min fråga, om den icke skulle göra detta, svarade han, att lagberedningen icke hade närmare tänkt härpå. Jag skall nu be att kammaren ville behjärta denna för en mängd </w:t>
      </w:r>
      <w:r>
        <w:rPr>
          <w:b/>
        </w:rPr>
        <w:t>kvinnor¹</w:t>
      </w:r>
      <w:r>
        <w:rPr>
          <w:b w:val="0"/>
        </w:rPr>
        <w:t xml:space="preserve"> så viktiga sak och bifalla förslaget om utredning. Det är ju icke fråga om annat än att anmoda lagberedningen att vid behandlingen av hithörande frågor även taga under övervägande denna fråga.</w:t>
        <w:br/>
        <w:br/>
        <w:t>Jag ber att få yrka bifall till herr Erikssons i Grängesberg reservation.</w:t>
        <w:br/>
        <w:br/>
        <w:t>lering och strykande av allt, som står om 50-kronorsavdraget, så kan jag icke hjälpa, att jag finner det vara en alldeles olämplig åtgärd, när avsikten med detsamma enligt herr Wijks mening blott skulle vara att vinna en återremiss till utskottet, för att det skulle åstadkomma något annorlunda formulerade tabeller, som kunde göra, att övergången, där 50-kronorsavdraget upphör att verka, skulle undvika det lilla missförhållande, som för närvarande där kommitin. Detdär missförhållandet kommer nämligen icke att på minsta sätt synas förrän efter åtskilliga år framåt. Detkommer att uppgå till maximum efter 50 år, och då för den lägsta pensionsklassen till 6 kronor. De närmaste åren blir det bara några ören. Det förefaller mig, att den lämpligaste och bästa vägen att få denna sak utjämnad och rättad skulle vara, att man utgår ifrån, att pensionsstyrelsen kommer att ha sin uppmärksamhet fästad på detta och göra framställning till Kungl. Maj:t om lämplig jämkning av denna sak. Med hänsyn till detta och att den vägen synes mig lämpligare än den av herr Wijk förordade, ber jag att få yrka bifall till utskottets förslag.</w:t>
        <w:br/>
        <w:br/>
        <w:t>Det skrivelseförslag, som herr Eriksson i Grängesberg berörde och talade för, har ju av utskottet avstyrkts, icke alls på minsta sätt därför att utskottet haft något att invända emot denna skrivelse i och för sig, utan endast med den motivering, som står på sidan 33 i betänkandet, nämligen att »de ämnen, som där beröras, redan äro eller inom kort skola bliva föremål för utredning inom fattigvårdslagstiftningskommittén eller lagberedningen.» Emellertid är det ju ytterst obehagligt att yrka avslag på en skrivelse, som möjligen kan giva ett ytterligare understrykande av, att denna viktiga fråga kommer fram; och jag vill icke heller för min del göra det. Men jag har velat upplysa om, huru saken ligger i detta fall, för att giva en förklarring på, varför utskottet ställt sig avböjande. Det har varit uteslutande på denna rent formella grund. Men jag är övertygad om, att här i kammaren finnes ingen människa, som vill motsätta sig, att denna sak kommer att prövas. Ty den är helt vissit behjärtansvärd.</w:t>
      </w:r>
    </w:p>
    <w:p>
      <w:pPr>
        <w:pStyle w:val="Heading2"/>
      </w:pPr>
      <w:r>
        <w:t>8. Erik Indebetou (Lantmanna- och borgarepartiet inom andrakammaren, man)</w:t>
      </w:r>
    </w:p>
    <w:p>
      <w:r>
        <w:rPr>
          <w:b w:val="0"/>
        </w:rPr>
        <w:t>Herr talman! Jag skall blott ett par minuter taga herrarnas tid i anspråk. Jag anser det</w:t>
        <w:br/>
        <w:br/>
        <w:t>emellertid trots denna sena timme vara min skyldighet att här Lag om allå sjömännens vägnar uttala mitt beklagande av, att de synpunknär ra ter, som jag i min motion framlagt beträffande befrielse för Försäkring sjömännen från att få sina från sjömanshus och handelsflottans (Forts.) pensionsanstali utgående understöd, fråndragna de nu beslutade pensionstilläggen, icke ha av utskottet beaktats. Utskottet har här motiverat detta med, att det skulle vara orätt att giva en viss yrkesgrupp en gynnad ställning och detta kan ju ha sin riktighet beträffande olika yrkesgrupper på land. Men den särskilda yrkesgrupp, som här avses, nämligen sjömännen, har haft denna gynnade ställning sedan ett tiotal år tillbaka i det de gegenom statens försorg erhållit mindre pensioner från handelsflottans pensionsanstalt. Och jag hade anledning förmoda och hoppas, att då de fått sig tillerkänd en särskild pension, de icke skulle fråntagas fördelen därav, genom att man från dessa pensionstillägg drager de här omnämnda inkomsterna. Dessa kunna ju synas icke vara så betydande, men för exempelvis en matros går dock avdraget upp till 80 kronor om året. Och när dessa förut haft cirka 90 kronor från pensionsanstalten och i medeltal högst 50 kronor från sjömanshuset, så äro dock 80 kronor för dem av en avsevärd betydelse. Emot det enhälliga utskottet har jag dock ingen anledning att framställa något yrkande.</w:t>
        <w:br/>
        <w:br/>
        <w:t>I samband med denna motion har jag även väckt en annan med begäran om en skrivelse till Kungl. Maj:t, att sjömännen snarast möjligt måtte få sina pensionsförhållanden ordnade på ett mera tillfredsställande sätt. Detta har utskottet behjärtat mera, och det är glädjande att se utskottet understryka det löfte, som av Kungl. Maj:t uttalats i propositionen. Jag får därför till herr civilministern här endast uttala en vördsam förhoppning, att herr statsrådet ville snarast möjligt sätta i gång denna utredning, så att sjömännen inom kort må få den av dem påyrkade och av alla insedda förbättringen i sina nuvarande pensionsvillkor genom att erhålla en särskild pensionsförordning för sig fastställd.</w:t>
        <w:br/>
        <w:br/>
        <w:t>Herr talman! Jag har intet yrkande.</w:t>
        <w:br/>
        <w:br/>
        <w:t>Finnes på grund av höga levnadskostnader i den ort, där pensionstagare är bosatt, pensionen ej vara tillräcklig för hans för-</w:t>
        <w:br/>
        <w:br/>
        <w:t xml:space="preserve">icke skall anses såsom fattigvård. Sådant pensionstillskott må dock, evad det utgår i penningar eller naturaförmåner, ej uppgå till högre årligt värde än för man till 150 och för </w:t>
      </w:r>
      <w:r>
        <w:rPr>
          <w:b/>
        </w:rPr>
        <w:t>kvinna¹</w:t>
      </w:r>
      <w:r>
        <w:rPr>
          <w:b w:val="0"/>
        </w:rPr>
        <w:t xml:space="preserve"> till 125 kronor; och kan tillskottet av kommunen efter omständigheterna minskas eller indragas.</w:t>
        <w:br/>
        <w:br/>
        <w:t xml:space="preserve">Till denna fond skall för varje år av statsmedel tillskjutas ett belopp, motsvarande en tredjedel av samtliga för avgiftspliktiga </w:t>
      </w:r>
      <w:r>
        <w:rPr>
          <w:b/>
        </w:rPr>
        <w:t>kvinnor¹</w:t>
      </w:r>
      <w:r>
        <w:rPr>
          <w:b w:val="0"/>
        </w:rPr>
        <w:t xml:space="preserve"> för året erlagda pensionsavgifter.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