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206</w:t>
      </w:r>
    </w:p>
    <w:p>
      <w:r>
        <w:rPr>
          <w:b/>
        </w:rPr>
        <w:t xml:space="preserve">Datum: </w:t>
      </w:r>
      <w:r>
        <w:t>1914-02-23</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Nils Alexanderson (Liberala samlingspartiet, man)</w:t>
      </w:r>
    </w:p>
    <w:p>
      <w:r>
        <w:rPr>
          <w:b w:val="0"/>
        </w:rPr>
        <w:t>Herr talman, mina herrar! Den ärade talare, som nyss å reservanternas vägnar hade ordet, har sökt närmare utveckla den motivering, reservationen innehåller, och som helt enkelt går ut på att, när riksdagen redan har begärt utredning om vidgad rätt till utträde ur statskyrkan, då vore i själva verket en skrivelse av nu föreslagna art obehövlig, enär denna fråga inginge i den ifrågavarande utredningen. Men häremot måste jag återigen framhålla vad, såsom greve Spens antytt, redan förut blivit i en kammarens debatt i detta ämne påpekat, nämligen att det ju icke är fråga om, att endast de personer, vilka för närvarande sakna möjlighet att utgå ur statskyrkan, skulle beredas större religiös frihet genom den ifrågasatta anordningen. Det gäller naturligtvis fastmera framför allt de inom vårt land mycket utbredda talrika meningsgrupper, som ej</w:t>
        <w:br/>
        <w:br/>
        <w:t>önska något hellre än att få stå kvar inom denna statskyrkas ram, och vilka således ej alls bliva tillfredsställda genom att andra personer få rätt att utträda ur statskyrkan — en rätt, varav dessa förra ej vilja begagna sig. Således torde det vara litet omöjligt att vidhålla att genom utredningen om vidgad rätt att utträda skulle givas ett tillfredsställande svar på den önskan, som i motionen framburits, att personer inom svenska kyrkan skulle i avseende på jordfästning få begagna sig av de friare, naturligare former för religiöst liv, som kyrkan sedan länge funnit sig icke böra förvägra dem i fråga om deras sammankomster till andaktsövningar i övrigt. Sedan lång tid tillbaka har ju kyrkan uppgivit den ståndpunkten, att meningsgrupper, som ha behov för sitt personliga religiösa liv av att sammansluta sig till fria föreningar inom statskyrkans ram under ledning av särskilda föreståndare, som sörja för deras uppbyggelse, icke skulle äga en sådan frihet. Men det är väl då också en naturlig konsekvens, att vid ett av de tillfällen i livet, då hela situationen gör den rent personliga känsligheten alldeles särskilt stor, vid det högtidliga tillfälle, då man samlas för att sänka en anförvant i jorden och se honom vigd till den sista vilan, även denna högtidliga akt skall få företagas av en sådan person, som de sörjande och den avlidne haft till sin personliga själasörjare, och att icke vid detta ömtåliga tillfälle nödvändigt skall uppträda såsom officiant en person, som huru personligen aktningsvärd och präktig han än må vara, dock står personligen alldeles främmande för de närvarande och särskilt för deras religiösa liv. Här kvarstår, synes mig, obestridligen en enstaka punkt, som numera framstår som en ren anomali, där det religiösa livet inom statskyrkans ram ej tillstädjas taga sig de former, vilka man, såsom sagt, länge insett vara en naturlig sak och ett samhällsintresse, att de eljest tillåtas.</w:t>
        <w:br/>
        <w:br/>
        <w:t>Den motivering reservanterna anfört, träffar alltså — vill jag säga — alldeles icke det spörsmål, varom här är fråga. Man kan visserligen ej vara annat än beläten med, att reservanterna i sak ej velat inlåita sig på något bestridande av det behjärtansvärda 1 den tanke, som ligger till grund för motionen, och som fått utskottets understöd, men det skäl, på grund varav reservanterna vilja undanskjuta motionen, har å andra sidan ej mycket av inre bärkraft, då det dock endast är en sammanblandning av två frågor, som icke hava något verkligt samband. Greve Spens sade nyss, att denna fråga, även oml den ej bleve föremål för någon riksdagsskrivelse, dock säkerligen komme att bliva föremål för utredning i samband med den redan avgivna riksdagsskrivelsen. Vilka skäl har han egentligen att antaga, att den skulle upptagas till behandling och lösas likaväl, som om riksdagen hade uttalat sig för det nu förevarande önskemålets uppfyllande? Det är svårt att förstå. Riksdagen har uttalat sig för ett visst bestämt önskemål. Befinnes det nu i sak gagneligt, att ett annat viktigt önskemål i samband därmed upptages till</w:t>
        <w:br/>
        <w:br/>
        <w:t>utredning, kan det väl ej vara annat än riktigt, att riksdagen därom också gör en erinran.</w:t>
        <w:br/>
        <w:br/>
        <w:t>Jag vill slutligen påminna om, huru läget var vid denna frågas behandling för två år sedan. Den befann sig då i en för dess gynnsamma lösning ganska vansklig kombination med den på många sätt vida kinkigare frågan om erkännande av lekmannadop inom svenska kyrkan. Denna fråga om lekmannadop är vanskligare därför, att det uppstår vissa svårigheter att bestämma, vilka konsekvenser det skall medföra beträffande en persons framtida ställning, hans rätt att söka vissa anställningar o. s. v., detta att han blivit döpt icke av kyrkans officiant utan av s. k. lekman. Men sådana svårigheter förefinnas ju ej alls i fråga om jordfästning. Det var även påfallande, att det motstånd som restes för två år sedan, i främsta rummet koncentrerade sig på doffrågan. Trots denna, som sagt, ogynnsamma kombination var det endast med tre rösters övervikt, som denna kammare fann sig böra avslå utskottets hemställan, som i fråga om jordfästning var av samma innebörd som den hemställan utskottet gjort i år. Det är sant, att andra kammaren, då den biföll denna utskottets hemställan, gjorde det med en ganska svag majoritet, men detta får man utan tvivel anse bl. a. varit beroende på den berörda mindre lyckliga kombinationen med dopfrågan. I år, då förslaget framträtt, fritt från denna kombination, se vi ett helt annat resultat. Andra kammaren har i går med mycket betydande majoritet uttalat sig för en skrivelse i enlighet med motionens syfte.</w:t>
        <w:br/>
        <w:br/>
        <w:t>Jag ber, herr talman, att få yrka bifall till utskottets hemställan.</w:t>
        <w:br/>
        <w:br/>
        <w:t>Herr Bergqvist: Herr talman! Jag kan icke underlåta att ingå på en kritik av den föreliggande motionen, ty den inbjuder i sällsynt hög grad härtill. Jag måste säga om denna motion, att den åtminstone enligt min uppfattning är ytterst oklar och konfys, och vad ännu värre är: jag måste säga, att den är elakt skriven. Det är icke den kristliga kärlekens öppna och milda språk, som talar i densamma, utan det är tvärtom en dolsk försåtlighet, som ligger bakom orden i stora partier av motiveringen. Till den saken skall jag återkomma något senare.</w:t>
        <w:br/>
        <w:br/>
        <w:t>Vad vill nu motionären? Klämmen i hans motion innefattar, »att riksdagen ville besluta att hos Kungl. Maj:t anhålla, det täcktes Kungl. Maj:t låta utarbeta och för riksdagen framlägga förslag till sådan lagändring, att även annan person än präst i statskyrkan och den, som enligt Kungl. Maj:ts nådiga förordning angående främmande trosbekännare den 31 okt. 1873 är jämnställd med statskyrkopräst, må kunna berättigas att förrätta begravning». Om man nu ger akt på denna kläm, så finnes i densamma ingen som helst inskränkande bestämmelse, och det synes därför, som om det vore motionärens mening att</w:t>
        <w:br/>
        <w:br/>
        <w:t>få till stånd en fullkomligt obegränsad frihet i fråga om förrättningsman vid jordfästning. Hans framställning skulle sålunda jämväl inbegripa införande av rent borgerlig begravning. issa delar av motionens motivering synas också bestyrka ett sådant antagande. Emellertid är detta, försåvitt jag förstått saken rätt, i själva verket icke motionärens mening. Han synes tvärtom utgå från den tysta förutsättningen, att rätten att förrätta jordfästning utan biträde av prästman borde inskränkas till frikyrkoförsamlingarnas föreståndare, och han säger, att icke ens alla dessa borde beklädas med en dylik rätt, utan rätten endast tillkomma dem, som Kungl. Maj:t eller konungens befallningshavande funne gott därtill förordna. Vidare skola vi märka rörande denna motion, att det är fråga om jordfästning inom svenska kyrkan, alltså av medlemmar i denna kyrka, icke av dissenters. Tager man nu först sikte därpå, att motionären tänker sig, att jordfästningen alltfort skall vara en religiös akt, känner man sig mycket förvånad över att han såsom stöd för sin framställning åberopar den danska lagen om borgerlig begravning. På sidan 5 i utskottets betänkande återfinnes den del av motiveringen, där motionären citerat flera paragrafer av nämnda lag. Detta vore ju fullt berättigat, försävitt det varit motionärens syfte att föreslå den svenska riksdagen att skriva till Kungl. Maj:t om borgerlig begravning. Men i det sammanhang, vari detta citat nu står, blir det meningslöst.</w:t>
        <w:br/>
        <w:br/>
        <w:t>Fäster man sig vidare därvid, att det är fråga om jordfästning inom svenska kyrkan, så står man undrande inför de partier av motiveringen, där motionären utgår från frågan om förändring i dissenters skattskyldighet till statskyrkan och inlåter sig på det därmed sammanhängande resonnemanget om prästerskapets göromål. Ja, vore det här fråga om rätt för dissenters att verkställa jordfästning inom sina församlingar utan biträde av präst, då skulle en dylik motivering vara fullkomligt på sin plats. Men vad den har att göra i detta sammanhang, det begriper jag sannerligen icke.</w:t>
        <w:br/>
        <w:br/>
        <w:t>Jag sade, att motionen är delvis ganska elakt skriven, och det är jusb i det parti, där motionären satiriskt talar om prästernas arbete och ådagalägger en låtsad ömhet för att detta arbete må lättas. Och så kommer han till sist till det stora steget: viskola lätta prästernas arbete genom att befria dem från att förrätta en del jordfästningar! Det kan icke ha varit någon uppriktighet, som dikterat dessa ord, jag vågar påstå det. Motionären bör veta lika väl som jag, att en reform i överensstämmelse med denna motion skulle komma att vara av ingen som helst betydelse med avseende på frågan om prästernas arbetsbörda. Åtminstone skulle reformen icke komma att lätta denna börda, snarare att öka densamma. Motionären ordar bl. a. om, att de frikyrkliga befria prästerna från en mängd arbete genom att de döpa barn o. s. v. Men nu förhåller det sig så, att dessa förrättningar förorsaka prästen ett särskilt arbete i avseende på bokföringen, ett arbete,</w:t>
        <w:br/>
        <w:br/>
        <w:t>som fullt uppväger själva besväret med förrättningen, och så komme det naturligtvis också att bliva här. För övrigt tror jag, att det skall bli ett så ringa antal, som skulle komma att använda sig av annan förrättningsman än präst vid jordfästning, att dessa fall skulle bliva försvinnande få.</w:t>
        <w:br/>
        <w:br/>
        <w:t>Motionären säger vidare, att då frikyrkopredikanter kunna utföra vissa funktioner lika bra som präster, böra de också få utföra dem. Är icke detta ett underligt resonnemang? Tänk om vi skulle tillämpa den principen i vårt samfundsliv, att var och en, som kan utföra en sak lika bra som en samfundets officielle funktionär, han skulle också få utföra den saken! Vart skulle det leda?</w:t>
        <w:br/>
        <w:br/>
        <w:t>I sammanhang härmed kan jag icke underlåta att uttala min förvåning över ett påstående i motionen, att av de över 2,000 frikyrkopredikanter, som finnas i landet, det är ett mycket stort antal, som äger lika stor utbildning och lika stor begåvning som prästerskapet. Ja, om begåvningen skall jag visserligen icke disputera med motionären, men om utbildningen måste jag disputera, ty det är ju ytterst få predikanter, vilka hava den utbildning, som prästerskapet äger.</w:t>
        <w:br/>
        <w:br/>
        <w:t xml:space="preserve">Ser jag nu på utskottets motivering, finner jag, att denna går i der. riktning motionären önskar. Utskottet tager hänsyn uteslutande till de frikyrkliga sammanslutningarna och deras känslostämningar, men däremot tager det ingen som helst häns till svenska kyrkan och </w:t>
      </w:r>
      <w:r>
        <w:rPr>
          <w:b/>
        </w:rPr>
        <w:t>hennes²</w:t>
      </w:r>
      <w:r>
        <w:rPr>
          <w:b w:val="0"/>
        </w:rPr>
        <w:t xml:space="preserve"> samfundsintressen. Utskottet har i betänkandet givit stöd åt en strävan, som under omkring 40 år pågått här i landet att bringa oreda i de kyrkliga förhållandena och undanskjuta det kyrkliga ämbetet. Det anförande, som vi nyss hörde av herr Alexanderson, är ock ett fullkomligt typiskt uttryck för just denna kyrkopolitiska strävan från de friare riktningarna. Man resonerar som så: vi äga icke samma uppfattning i en hel mängd frågor som kyrkan utan tvärtom, vi ogilla kyrkans uppfattning i många delar, men vi vilja ändå stå kvar inom </w:t>
      </w:r>
      <w:r>
        <w:rPr>
          <w:b/>
        </w:rPr>
        <w:t>henne²</w:t>
      </w:r>
      <w:r>
        <w:rPr>
          <w:b w:val="0"/>
        </w:rPr>
        <w:t xml:space="preserve">, och emedan vi vilja stå kvar där, skola vi också äga rätt att utöva funktioner icke blott i kulturellt utan även i administrativt hänseende på sådant sätt, som står i överensstämmelse med vår uppfattning. Det är således icke de klara raka linjerna, att, när man kommit in i en annan uppfattning än kyrkans, man då skiljer sig från </w:t>
      </w:r>
      <w:r>
        <w:rPr>
          <w:b/>
        </w:rPr>
        <w:t>henne²</w:t>
      </w:r>
      <w:r>
        <w:rPr>
          <w:b w:val="0"/>
        </w:rPr>
        <w:t xml:space="preserve">. Nej, i stället stannar man kvar för att inifrån spränga sönder och försvaga </w:t>
      </w:r>
      <w:r>
        <w:rPr>
          <w:b/>
        </w:rPr>
        <w:t>henne²</w:t>
      </w:r>
      <w:r>
        <w:rPr>
          <w:b w:val="0"/>
        </w:rPr>
        <w:t xml:space="preserve"> och slutligen lägga </w:t>
      </w:r>
      <w:r>
        <w:rPr>
          <w:b/>
        </w:rPr>
        <w:t>henne²</w:t>
      </w:r>
      <w:r>
        <w:rPr>
          <w:b w:val="0"/>
        </w:rPr>
        <w:t xml:space="preserve"> i ruiner. Detta är en strävan, säger jag, en allmän strävan, som i denna riktning gjort sig gällande här i landet under omkring 40 års tid, och den föreliggande motionen är ett litet led — jag betonar just ordet litet — 1 denna allmänna strävan, men den är dock ett led i densamma.</w:t>
        <w:br/>
        <w:br/>
        <w:t>Man säger nu: ja, men det är i alla fall nödvändigt för samvetsfrihetens och religionsfrihetens skull, att vi lämna rum för dessa friare sammanslutningar, låta dem träda in på områden, som förut varit förbehållna det kyrkliga ämbe-</w:t>
        <w:br/>
        <w:br/>
        <w:t xml:space="preserve">tet. Jag undrar ändå, om detta tal om samvetsfrihet har så goda grunder för sig? Om vi nu t. ex. tänka på en jordfästning: när prästen framträder och viger ett stoft till gravens ro, så är det icke blott en religiös akt han utför, utan det är också en samfundshandling. Han handlar såsom representant för den svenska kyrkan, när han viger en av </w:t>
      </w:r>
      <w:r>
        <w:rPr>
          <w:b/>
        </w:rPr>
        <w:t>hennes²</w:t>
      </w:r>
      <w:r>
        <w:rPr>
          <w:b w:val="0"/>
        </w:rPr>
        <w:t xml:space="preserve"> avlidna medlemmar till gravens ro, men han handlar också såsom representant för svenska staten därigenom, att han sedan bokför denna förrättning och tillser, att allt sker ordentligt och utan någon fara för samhället. Är det då verkligen riktigt och rätt, att herr vem som helst skall kunna inträda och utöva dessa samfundsfunktioner? Jag tycker, att om svenska kyrkan skall få rätt att vara ett samfund, så böra sådana funktioner utövas av </w:t>
      </w:r>
      <w:r>
        <w:rPr>
          <w:b/>
        </w:rPr>
        <w:t>hennes²</w:t>
      </w:r>
      <w:r>
        <w:rPr>
          <w:b w:val="0"/>
        </w:rPr>
        <w:t xml:space="preserve"> organ, och de äro i detta fall prästerskapet. Men en annan sak är: om nu dessa frireligiösa, som äro anhöriga till den avlidne, önska en särskild religiös akt eller särskilda ceremonier, som tillfredsställa deras känslor och som äro uttryck för deras kärlek gent emot den avlidne, böra de naturligtvis få det, och det är ingen, som förmenar dem detta. Det synes, som om deras samvetsfrihel och deras pietet skulle få tillräckligt utrymme i en sädan särskild handling, som de icke förmenas att utföra. Därför finner jag icke talet om samvetsfrihet här hava något verkligt fog för sig.</w:t>
        <w:br/>
        <w:br/>
        <w:t>Emellertid vill jag icke sluta mitt anförande, utan att också giva ett erkännande åt de frireligiösa riktningarna. Det är icke meningen, att jag endast skall frambära klander av deras arbete. De må hava ett stort berättigande och en stor uppgift, då det gäller den rena uppbyggelsen och kärleksverksamheten i våra församlingar. Men fastän jag villigt ger detta erkännande, kan jag icke vara med om, att dessa sammanslutningar över allt söka att tränga sig in just i samfundsfunktionerna och undanskjuta det kyrkliga ämbetet.</w:t>
        <w:br/>
        <w:br/>
        <w:t>På grund av denna min principiella åskådning nödgas jag, herr talman, yrka avslag såväl å motionen som! å utskottets hemställan.</w:t>
      </w:r>
    </w:p>
    <w:p>
      <w:pPr>
        <w:pStyle w:val="Heading2"/>
      </w:pPr>
      <w:r>
        <w:t>2. Karl Ekman (Första kammarens nationella parti, man)</w:t>
      </w:r>
    </w:p>
    <w:p>
      <w:r>
        <w:rPr>
          <w:b w:val="0"/>
        </w:rPr>
        <w:t>Herr talman, mina herrar! Det var rätt förvånande att från en målsman för den juridiska bildningen i vårt land få höra sådana argument till försvar för utskottets hemställan som dem, herr Alexanderson nyss på vissa punkter presterat. Han yttrade bl a. något som jag nu särskilt fäste mig vid, nämligen att då kyrkan har redan faktiskt uppgivit sitt motstånd mot friare bildningar inom densamma och tillåter de såväl främmande trosbekännare som de i egentlig mening frikyrkliga att få bilda egna sammanslutningar inom kyrkan, dessa också borde få rättighet att själva utföra ifrågavarande förrättningar och icke behöva för dem anlita kyrkans prästerskap. Men är utgångspunkten här den rätta? Om herr Alexanderson behagat se på den motion, som ligger till grund för riksdagens skrivelse den 9 mars 1909 ifråga</w:t>
        <w:br/>
        <w:br/>
        <w:t xml:space="preserve">Uti nämnda motion, som ligger till grund för riksdagens skrivelse, framställde jag yrkande om en skrivelse till Kungl. Mai:t, gående därpå ut »huruvida och under vilka villkor det må kunna tillåtas medlem av svenska kyrkan att, även utan uppgiven avsikt att övergå till annat kristet trossamfund, utträda ur kyrkan». I motionen framhölls, att medgivande till fritt utträde icke kunde genomföras utan en grundlig undersökning av alla de konsekvenser, som därav följde, och ordnande av de många ömtåliga frågor på skilda områden, som i samband därmed uppkomme. Ett sådant medgivande komme, heter det vidare i motionen, att medföra nödvändigheten av närmare reglering av förhållandena mellan kyrkan och de såväl inom som utom </w:t>
      </w:r>
      <w:r>
        <w:rPr>
          <w:b/>
        </w:rPr>
        <w:t>henne²</w:t>
      </w:r>
      <w:r>
        <w:rPr>
          <w:b w:val="0"/>
        </w:rPr>
        <w:t xml:space="preserve"> stående statsmedlemmarna -— och i det sammanhanget påpekade jag särskilt frågan om prästerligt biträde vid sjukbesök och jordfästning. Riksdagen förklarade sig också 1 skrivelsen i ämnet biträda den uppfattningen, att ett medgivande av rätt till utträde ur statskyrkan av så vidsträckt omfattning måste medföra nödvändigheten av ändringar i åtskilliga förhållanden, som beröra såväl det borgerliga samhället som också särskilt kyrkan. Det är således riktigt, som reservanterna säga i reservationen, att det icke torde »vara nödigt, att riksdagen ånyo uttalar sig därom, och icke heller lämpligt, att riksdagen redan nu inlåter sig på bedömande av den riktning vari eller det sätt varpå denna fråga bör lösas».</w:t>
        <w:br/>
        <w:br/>
        <w:t>Herr talman, jag hemställer liksom reservanterna, att motionen icke må till någon riksdagens åtgärd föranleda.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