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1293</w:t>
      </w:r>
    </w:p>
    <w:p>
      <w:r>
        <w:rPr>
          <w:b/>
        </w:rPr>
        <w:t xml:space="preserve">Datum: </w:t>
      </w:r>
      <w:r>
        <w:t>1915-03-13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Winberg (Kilbomspartiet, man)</w:t>
      </w:r>
    </w:p>
    <w:p>
      <w:r>
        <w:rPr>
          <w:b w:val="0"/>
        </w:rPr>
        <w:t>Herr talman! Bara en rättelse med anledning av: herr Zanders anförande. Han uppläste följande ord i utskottets utlåtande: »Utskottet saknar anledning att nu yttra sig om lämpligheten av en dylik utvidgning». Härmed syftar emellertid utskottet på vad som står i stycket närmast ovanför, och detta stycke börjar med orden: »Ett bifall till motionen skulle emellertid medföra tjänstebrevsrättens utsträckning även till brevväxling med :verk och myndigheter i, rent kommunala angelägenheter». Det är denna konsekvens av ett bifall till motionen, som utskottet åsyftar, då det säger, att det saknar anledning att nu ingå härpå. Det är sålunda att tala vid sidan av saken, när talaren förmenar, att utskottet icke skulle velat uttala sig om den utvidgning av. tjänstebrevsrätten, som innefattas i motionärens yrkande.</w:t>
        <w:br/>
        <w:br/>
        <w:t>Jag skall icke förlänga debatten utan ber att få instämma i utskottets yrkande.</w:t>
        <w:br/>
        <w:br/>
        <w:t xml:space="preserve">ensumma </w:t>
      </w:r>
      <w:r>
        <w:rPr>
          <w:b/>
        </w:rPr>
        <w:t>mödrar²</w:t>
      </w:r>
      <w:r>
        <w:rPr>
          <w:b w:val="0"/>
        </w:rPr>
        <w:t>.</w:t>
      </w:r>
    </w:p>
    <w:p>
      <w:pPr>
        <w:pStyle w:val="Heading2"/>
      </w:pPr>
      <w:r>
        <w:t>2. Bernhard Eriksson (Socialdemokraterna, man)</w:t>
      </w:r>
    </w:p>
    <w:p>
      <w:r>
        <w:rPr>
          <w:b w:val="0"/>
        </w:rPr>
        <w:t xml:space="preserve">Herr talman! Den fråga, som jag och mina medmotionärer bragt inför kammaren, är synnerligen behjärtansvärd och betydelsefull för de fattiga </w:t>
      </w:r>
      <w:r>
        <w:rPr>
          <w:b/>
        </w:rPr>
        <w:t>kvinnorna¹</w:t>
      </w:r>
      <w:r>
        <w:rPr>
          <w:b w:val="0"/>
        </w:rPr>
        <w:t xml:space="preserve"> och framför allt för de små barnen. Utskottet har på ett synnerligen välvilligt sätt uttalat sig om motionens syfte. Utskottet hn understrukit betydelsen av den utredning, som vi föreslagit, och anser för sin del, att en sådan utredning bör komma till stånd.</w:t>
        <w:br/>
        <w:br/>
        <w:t xml:space="preserve">Jag ber att ännu en gång få understryka, huru ytterst viktig den fråga är, som vi pekat på. Den befinner sig i det intimaste samband med en annan fråga, nämligen den om utom äktenskapet födda barns rättsliga ställning. båda dessa avseenden torde Sverige befinna sig bland de mest efterblivna staterna, och av de nordiska länderna är Sverige härvidlag det mest efterblivna landet. Vi ha i motionen refererat två lagar, som gälla i Danmark. Den ena rör såväl de utom äktenskapet födda barnens ekonomiska förhållanden som deras rättsliga ställning. 1 Norge har under denna vecka slutgiltigt — som jag tror — antagits en lag, som i detta avseende går synnerligen långt. Tiden medger mig icke att referera den norska lagen, men jag ber få säga, att den berör såväl barnens arvsförhållanden som andra betydelsefulla frågor rörande tillvaratagandet av de utom äktenskapet födda barnens rättsliga ställning och </w:t>
      </w:r>
      <w:r>
        <w:rPr>
          <w:b/>
        </w:rPr>
        <w:t>moderns²</w:t>
      </w:r>
      <w:r>
        <w:rPr>
          <w:b w:val="0"/>
        </w:rPr>
        <w:t xml:space="preserve"> och barnets rätt gent emot barnafadern. I Norge hade man före denna lags tilkomst långt mera rättvisa och tillfredsställande bestämmelser än vi ha, men lagstiftningen har nu ännu mera utsträckt skyddet för </w:t>
      </w:r>
      <w:r>
        <w:rPr>
          <w:b/>
        </w:rPr>
        <w:t>mödrar²</w:t>
      </w:r>
      <w:r>
        <w:rPr>
          <w:b w:val="0"/>
        </w:rPr>
        <w:t xml:space="preserve"> och barn. 1 Finland utarbetades av lagberedningen en lag, som för ett tiotal år sedan, vill jag minnas, framlades, men särskilda förhållanden där, som vi alla känner, ha gjort, att det varit svårt att få någon som helst lagstiftning genomförd. Den har framlagts för lantdagen upprepade gånger, men jag vet icke, om lantdagen ännu antagit den. Den närmar sig den norska och den danska lagstiftningen på detta område.</w:t>
        <w:br/>
        <w:br/>
        <w:t xml:space="preserve">Man kan sålunda bestämt säga, att alla de övriga nordiska länderna ha på detta område berett ett bättre skydd för </w:t>
      </w:r>
      <w:r>
        <w:rPr>
          <w:b/>
        </w:rPr>
        <w:t>mödrarna²</w:t>
      </w:r>
      <w:r>
        <w:rPr>
          <w:b w:val="0"/>
        </w:rPr>
        <w:t xml:space="preserve"> än Sverige gjort. Jag skall i detta sammanhang på det livligaste understryka betydelsen av att samhället gör allt som kan göras för att få effektiva bestämmelser, då det gäller de utom äktenskapet födda barnens rättsliga förhållanden. Vi ha framhållit detta i motionen, och påpekat, hurudana förhållandena nu äro i detta avseende i vårt land. Men i samband med de rättsliga förhållandena stå de ekonomiska. 'Det är icke endast av vikt, att barnen kunna få understöd av fadern och att de få ut detta på det rätta sättet, utan det kräves också, att samhället springer till hjälp genom att förskottera de medel, som den försumlige barnafadern icke lämnat. Och det är just</w:t>
        <w:br/>
        <w:br/>
        <w:t>den frågan vi påtalar i motionen, och där har refererats till den 4ng. understöd danska lagen. Därutöver ha vi refererat en annan dansk lag, &amp; barn till som nu har gällande kraft från den 1 januari 1914, om direkt ”Nöarar understöd till änkors barn, som befinna sig i ringa och fattiga (Forts.) omständigheter. Understöd skulle härvidlag lämnas utan fattigvårds karaktär. Just dessa frågor äro, det ber jag få understryka, ytterst betydelsefulla. Det gäller det blivande släktet, det gäller våra efterträdare, och det gäller, hur de, som skola taga arv efter oss, skola fostras; det gäller om de skola kunna få en god uppfostran eller om många av dem måhända skola bliva mindervärdiga medborgare. Ty sådana kunna de bli, om de icke från barnaåren få fostran och vård.</w:t>
        <w:br/>
        <w:br/>
        <w:t>Nu har utskottet avstyrkt vår motion. Den är avstyrkt med den motiveringen, att den utredning vi begära redan är igångsatt av dels lagberedningen och dels fattigvårdskommittén.</w:t>
        <w:br/>
        <w:br/>
        <w:t>ag är icke så väl underrättad om vilka åligganden dessa insti-</w:t>
        <w:br/>
        <w:br/>
        <w:t>tutioner fått, men jag tror mig veta, att åtminstone officiellt ingen av dessa beredningar fått i uppdrag att utreda, huruvida eller på vad sätt fattiga änkor skola kunna få utan fattigvårds karaktär understöd för sina oförsörjda barn. Det är möjligt, att fattigvårdslagstiftningskommittén tager upp den saken i samband med barnavårdslagens revision i allmänhet, men detta skulle då, såvitt jag förstår, icke ske tillfölje av direkt erhållet uppdrag. Skulle så ändå ske eller uppdrag i den riktningen givas, skulle ingen vara mer tacksam än jag.</w:t>
        <w:br/>
        <w:br/>
        <w:t>I alla fall, då jag nu anser, att denna fråga är så ytterst betydelsefullt, och då jag anser, att det sociala reformarbetet i vårt land så länge Jidat av stagnation, och det gäller att icke Sverige på detta område blir efter, kan jag icke finna annat än att det blir en kraftig påstötning till höga vederbörande, regeringen, kommitterade eller vem det vara mände, om andra kammaren nu direkt uttalar sig för motionen. Det uttalande utskottet presterat står icke i strid mot motionens yrkande, och då förefaller det mig, att det vore ett kraftigare uttalande från andra kammarens sida, om andra kammaren ville bifalla motionen. På dessa skäl ber jag, herr talman, att få yrka bifall till vår motion.</w:t>
      </w:r>
    </w:p>
    <w:p>
      <w:pPr>
        <w:pStyle w:val="Heading2"/>
      </w:pPr>
      <w:r>
        <w:t>3. Erik Leksell (Socialdemokraterna, man)</w:t>
      </w:r>
    </w:p>
    <w:p>
      <w:r>
        <w:rPr>
          <w:b w:val="0"/>
        </w:rPr>
        <w:t>Herr talman! Utskottet har under behandlingen av den motion, som nu föreligger till avgörande inför kammaren, uttalat som sin mening, att det är fullt ense med motionärerna, att de ömmande spörsmål, som i motionen äro berörda, böra på allt sätt erkännas och att de böra erhålla den lösning motionärerna önskat. Jag kan då nämna, att motionärerna redan förut ha uttryckt sin tillfredsställelse över det re-</w:t>
        <w:br/>
        <w:br/>
        <w:t>re jnderst0d sultat, till vilket utskottet kommit; men nu på sistone i går barn till kväll och senast nu i dag har det kommit fram något, som jag</w:t>
        <w:br/>
        <w:br/>
        <w:t>icke tror, att ens motionärerna själva tänkt på förut, och det kan väl ändå icke läggas utskottet till last. Utskottet kan väl icke behandla en sak, som icke är ens framlagd i motionen, det bleve att gå utöver motionens ram. Vad som nu egentligen kommit</w:t>
        <w:br/>
        <w:br/>
        <w:t xml:space="preserve">fram är, att i uttrycket »ensamma </w:t>
      </w:r>
      <w:r>
        <w:rPr>
          <w:b/>
        </w:rPr>
        <w:t>mödrar²</w:t>
      </w:r>
      <w:r>
        <w:rPr>
          <w:b w:val="0"/>
        </w:rPr>
        <w:t xml:space="preserve"> och deras barn» icke</w:t>
        <w:br/>
        <w:br/>
        <w:t xml:space="preserve">skall innefattas »änkor och deras barn». Jag kan icke förstå, hur fattigvårdslagstiftningskommittén eller de vederbörande, som ha denna sak om hand, skola kunna komma förbi »änkor och deras barn», då det är fråga om ensamma </w:t>
      </w:r>
      <w:r>
        <w:rPr>
          <w:b/>
        </w:rPr>
        <w:t>mödrar²</w:t>
      </w:r>
      <w:r>
        <w:rPr>
          <w:b w:val="0"/>
        </w:rPr>
        <w:t xml:space="preserve">. Äro endast de </w:t>
      </w:r>
      <w:r>
        <w:rPr>
          <w:b/>
        </w:rPr>
        <w:t>mödrar²</w:t>
      </w:r>
      <w:r>
        <w:rPr>
          <w:b w:val="0"/>
        </w:rPr>
        <w:t xml:space="preserve"> ensamma, vars män övergivit dem, gått ifrån dem ? Är icke </w:t>
      </w:r>
      <w:r>
        <w:rPr>
          <w:b/>
        </w:rPr>
        <w:t>änkan²</w:t>
      </w:r>
      <w:r>
        <w:rPr>
          <w:b w:val="0"/>
        </w:rPr>
        <w:t xml:space="preserve"> efter en död man lika ensam? Jag kan icke förstå, att det är någon skillnad i detta fall, men det är just vad som kommit fram för motionärerna. Därför ville de ha ett annat beslut i utskottet än vad nu utskottet kommit till, vilket naturligtvis icke kan gå för sig.</w:t>
        <w:br/>
        <w:br/>
        <w:t>Jag känner mig pliktig yrka bifall till det beslut, vartill utskottet kommit, och jag kan försäkra herrarna, att utskottet alldeles säkert var lika ömt sinnat under behandlingen av denna motion för änkor och deras barn som någon i denna kammare, och ett avslagsyrkande kan icke på något sätt tagas till intäkt för, att så icke varit fallet.</w:t>
        <w:br/>
        <w:br/>
        <w:t>Det har sålunda efter det utskottet slutbehandlat detta ärende, kommit fram åtskilligt som icke ens motionärerna, som jag nyss nämnt, berört, och då är det alldeles givet, att utskottet ej heller kunde komma till annat resultat. Då nu emellertid min ärade vän på Dalabänken fått fram sina tankar i debatten, tänker jag i alla fall, att de det vederbör, nämligen fattigvårdslagstiftningskommittén och lagberedningen, verkligen fått, om jag så får utrycka mig, en påstötning, så att de icke glömma de fattiga änkorna och deras barn, vilket skulle vara sorgligt. Då jag nu icke ytterligare vill förlänga debatten, tager jag mig friheten yrka bifall till utskottets hemställan.</w:t>
      </w:r>
    </w:p>
    <w:p>
      <w:pPr>
        <w:pStyle w:val="Heading2"/>
      </w:pPr>
      <w:r>
        <w:t>4. Erik Räf (Lantmanna- och borgarepartiet inom andrakammaren, man)</w:t>
      </w:r>
    </w:p>
    <w:p>
      <w:r>
        <w:rPr>
          <w:b w:val="0"/>
        </w:rPr>
        <w:t>Herr talman! Som den förste ärade talaren sade, ligger det verkligen mycket goda tankar i denna motion. Jag har läst den med omsorg, och den har intresserat mig mycket, men det förhåller sig med dessa tankar så, att det är ganska svårt tyda dem här och där, och jag har icke riktigt vetat, oaktat jag anlitat god hjälp, vad motionären i ett och annat avseende syftar på. Emellertid är det genomgående vackra tankar, som utvecklas, men det gäller också en fråga av en mycket, mycket djupgående beskaffenhet. Den är djupgående såväl i ekonomiskt avseende som också, och måhända icke mindre, i rent sedligt avseende, och därför behöver man verkligen titta mycket väl på denna väv, innan man går att köpa den.</w:t>
        <w:br/>
        <w:br/>
        <w:t>Jag tänker visst icke tala för och yrka rent avslag på idén, som här kommer fram, men jag vill ändå fästa uppmärksamheten på det allvarliga som ligger under allt detta. Beträffande första avdelnin-</w:t>
        <w:br/>
        <w:br/>
        <w:t>medel». Det har i alla fall varit svårt för mig att komma tillrätta</w:t>
        <w:br/>
        <w:br/>
        <w:t>därmed. Menar man verkligen statsmedel eller menar man enskilda kommuners medel? Är det så, att varje kommun skall lämna underhåll</w:t>
        <w:br/>
        <w:br/>
        <w:t>på sätt här föreslagits, så är det ju en sak för sig, och då blir saken</w:t>
        <w:br/>
        <w:br/>
        <w:t>icke så vådlig, som om man skulle tänka sig, att staten av statsmedel</w:t>
        <w:br/>
        <w:br/>
        <w:t>skulle bestrida underhållet i fråga. Som frågan nu i vårt land lig-</w:t>
        <w:br/>
        <w:br/>
        <w:t>ger beträffande de oäkta barnen — jag tillåter mig begagna det</w:t>
        <w:br/>
        <w:br/>
        <w:t>uttryck lagen använder i allmänhet i detta fall — så förhåller det</w:t>
        <w:br/>
        <w:br/>
        <w:t>sig i närvarande stund så, att för landsbygden antalet oäkta barn pro</w:t>
        <w:br/>
        <w:br/>
        <w:t>"mille är knappt hälften så stort som för städerna. Tager jag t. ex. Stockholm, vill jag knappast nämna siffran i det avseendet. Skulle</w:t>
        <w:br/>
        <w:br/>
        <w:t>man verkligen tänka sig, att det här skulle bliva en gemensam angelä-</w:t>
        <w:br/>
        <w:br/>
        <w:t>genhet för hela landet, så finge man tänka sig, hur menligt detta</w:t>
        <w:br/>
        <w:br/>
        <w:t>komme att inverka för landsbygden, och det kan väl ändå näppe-</w:t>
        <w:br/>
        <w:br/>
        <w:t>ligen vara motionärernas tanke att vilja ordna på sådant sätt till</w:t>
        <w:br/>
        <w:br/>
        <w:t>mycket stort förfång för landsbygden. Jag har velat allvarligt be-</w:t>
        <w:br/>
        <w:br/>
        <w:t>tona detta också därför, att jag önskar, att då saken kommer till vederbörande beredningar, i synnerhet då till fattigvårdskommittén,</w:t>
        <w:br/>
        <w:br/>
        <w:t>som komma att taga hithörande spörsmål under allvarligt övervä-</w:t>
        <w:br/>
        <w:br/>
        <w:t>gande, dessa skola tillräckligt tänka på den omständigheten.</w:t>
        <w:br/>
        <w:br/>
        <w:t>Dessutom är det så, att såväl motionen som utskottets utlåtande väsentligen bygga på de danska lagförslagen. I dessa danska lagförslag har jag ej kunnat utläsa, att det är av allmänna medel dessa fattiga oäkta barn skola underhållas. Det är icke av statsmedel utan av kommunalmedel eller också av några amtkassor eller andra kassor. Blir det så även här i fråga om denna sak, ja, å la bonheur, då må det ha sin gång.</w:t>
        <w:br/>
        <w:br/>
        <w:t xml:space="preserve">Jag vill vidare säga, att i avseende å dessa oäkta barn, om jag får läsa danska lagen som den här refereras, det icke är så, att bidrag icke gives såsom fattigvårdsmedel, utan det är tvärtom så, enligt den text, som här anförts, att till dessa oäkta, fattiga barn eller deras </w:t>
      </w:r>
      <w:r>
        <w:rPr>
          <w:b/>
        </w:rPr>
        <w:t>mödrar²</w:t>
      </w:r>
      <w:r>
        <w:rPr>
          <w:b w:val="0"/>
        </w:rPr>
        <w:t xml:space="preserve"> bidragen lämnas i form av fattigvårdsmedel. Om det t. ex. är så, att modern står där övergiven och fadern icke så att säga är fäld, förskotteras bidraget av fattigvårdsmedel till modern, till dess att fadern hinner bli ådömd ersättning. Bidraget tages alltså ut som fattigvårdsmedel. Är det så, att fadern icke kan fällas utgår fortfarande bidrag av fattigvårdsmedel till modern. Därför förvånar det mig, att man i den danska lagen kunnat få ihop dessa två uttryck, »samhälleligt understöd» och »utan fattigvårds karakjär». Det synes mig som man då här icke bygger på den danska agen.</w:t>
        <w:br/>
        <w:br/>
        <w:t>Beträffande däremot fattiga änkors barn, synes det verkligen av de danska bestämmelserna framgå, att bidrag delvis skall utgå av allmänna eller statsmedel.</w:t>
        <w:br/>
        <w:br/>
        <w:t>Vi känna, hur det är i kommunerna här och där, och vi inse, att</w:t>
        <w:br/>
        <w:br/>
        <w:t>åt barn till kommunen verkligen behöver hålla ett vaket öga på ifrågavarande</w:t>
        <w:br/>
        <w:br/>
        <w:t xml:space="preserve">förhållanden, på det att de icke måtte urarta alltför mycket. Där sitter en </w:t>
      </w:r>
      <w:r>
        <w:rPr>
          <w:b/>
        </w:rPr>
        <w:t>kvinna¹</w:t>
      </w:r>
      <w:r>
        <w:rPr>
          <w:b w:val="0"/>
        </w:rPr>
        <w:t>, som har ett, två, tre, fyra, fem barn — jag vet icke, hur långt det kan fortsätta — då skall kommunen icke ha något ekonomiskt intresse härvidlag eller ha något inflytande, så att den kan så att säga hålla tummen på ögat på vederbörande i detta avseende. Jag tror, att det verkar mycket uppfostrande och verkar hindrande på uppkomsten av dessa ledsamma förhållanden, om kommunen verkligen måste öva tillbörlig uppsikt över detta, och det sker bäst genom att kommunen också har ekonomiskt intresse av att bevaka saken i fråga.</w:t>
        <w:br/>
        <w:br/>
        <w:t>Beträffande däremot tanken, att fattiga änkor delvis skulle få hjälp till sina barn av statsmedel, så kan jag icke ha någonting särskilt att erinra mot den, det må nu ordnas på det ena eller andra sättet. I detta fall är det ju ingen människa, som rår för, om modern blivit ensam.</w:t>
        <w:br/>
        <w:br/>
        <w:t>Det är för övrigt en hel massa saker, som återfinnas här i de danska lagarna eller den danska ministerns skrivelse, men som icke återfinnas i motionen, och det förefaller därför — säger jag ännu en gång — när man läser motionen, så konstigt och tillvridet, att man omöjligt kan komma till rätta därmed, om man nämligen förutsätter, att det danska lagförslaget skall ligga till grund. Är det verkligen så, att bestämmelserna skola utarbetas efter dessa danska lagar, i de delar, som här äro refererade — det finns ju möjligen sedan saker fördolda, som jag följaktligen icke kan döma över och som gå 1 motsatt riktning mot de danska lagarnas bestämmelse — förefaller det mig, att det förslag, som här är fråga om, är mycket beaktansvärt.</w:t>
        <w:br/>
        <w:br/>
        <w:t>Det är klart, att jag endast velat göra detta uttalande till protokollet, för att man må taga saken i allvarligt övervägande, då den sedan till äventyrs vidare prövas, och jag har naturligtvis intet annat yrkande att göra än om bifall till utskottets hemställan.</w:t>
      </w:r>
    </w:p>
    <w:p>
      <w:pPr>
        <w:pStyle w:val="Heading2"/>
      </w:pPr>
      <w:r>
        <w:t>5. Ivar Vennerström (Socialdemokraterna, man)</w:t>
      </w:r>
    </w:p>
    <w:p>
      <w:r>
        <w:rPr>
          <w:b w:val="0"/>
        </w:rPr>
        <w:t xml:space="preserve">Då herr Räf instämde i utskottets yrkande, skall jag icke upptaga hans yttrande till behandlin — jag överlämnar detta närmast till motionären. Jag vill doc i anledning av herr Erikssons i Grängesberg anförande, säga några ord. Han riktade den anmärkningen mot utskottets motivering och hemställan, att frågan om de ensamma </w:t>
      </w:r>
      <w:r>
        <w:rPr>
          <w:b/>
        </w:rPr>
        <w:t>mödrarnas²</w:t>
      </w:r>
      <w:r>
        <w:rPr>
          <w:b w:val="0"/>
        </w:rPr>
        <w:t xml:space="preserve"> barn, i detta fall änkornas barn, kanhända icke skulle komma att upptagas av fattigvårdskommittén till behandling.</w:t>
        <w:br/>
        <w:br/>
        <w:t xml:space="preserve">Nu ha vi, då vi behandlat denna sak, tagit uttrycket »ensamma </w:t>
      </w:r>
      <w:r>
        <w:rPr>
          <w:b/>
        </w:rPr>
        <w:t>mödrar²</w:t>
      </w:r>
      <w:r>
        <w:rPr>
          <w:b w:val="0"/>
        </w:rPr>
        <w:t xml:space="preserve">» i samma vida omfattning som motionärerna själva, d. v. s. änkor, frånskilda, övergivna </w:t>
      </w:r>
      <w:r>
        <w:rPr>
          <w:b/>
        </w:rPr>
        <w:t>hustrur²</w:t>
      </w:r>
      <w:r>
        <w:rPr>
          <w:b w:val="0"/>
        </w:rPr>
        <w:t xml:space="preserve"> och vidare ogifta </w:t>
      </w:r>
      <w:r>
        <w:rPr>
          <w:b/>
        </w:rPr>
        <w:t>mödrar²</w:t>
      </w:r>
      <w:r>
        <w:rPr>
          <w:b w:val="0"/>
        </w:rPr>
        <w:t xml:space="preserve">, och enligt de upplysningar, som vi fått från fattigvårdskommittén, skulle denna komma att upptaga frågan om dessa </w:t>
      </w:r>
      <w:r>
        <w:rPr>
          <w:b/>
        </w:rPr>
        <w:t>kvinnors¹</w:t>
      </w:r>
      <w:r>
        <w:rPr>
          <w:b w:val="0"/>
        </w:rPr>
        <w:t xml:space="preserve"> barn i hela dess vidd, alltså även frågan om änkornas barn. Enligt dessa upplysningar skall också fattig-</w:t>
        <w:br/>
        <w:br/>
        <w:t>vårdskommittén verkligen komma att upptaga saken till behandling och icke lägga densamma åsido. Då vi hyste den synnerligen bestämda uppfattningen, att så skulle komma att ske, har därtör utskottet kommit till det yrkande, med vilket det avslutar sin motivering. Hade vi haft någon annan uppfattning, hade säkerligen också utskottets betänkande kommit att se något annorlunda ut.</w:t>
        <w:br/>
        <w:br/>
        <w:t>Vad nu själva saken beträffar, är jag för min egen del och likaså utskottet fullständigt ense med motionärerna i deras synfikon Jag tror, att en varmare sympati för en motion siäkerigen icke kunnat utläsas ur något betänkande än den, som kan utläsas ur den här motiveringen. För det första behjärtar utskottet livligt de i motionen framlagda synpunkterna. För det andra anser utskottet, att åtgärder i motionens syfte böra med det allra snaraste av statsmakterna vidtagas. För det tredje säger sig utskottet ha mycket gärna velat medverka till att få förevarande spörsmål lagt under utredning, och för det fjärde säger utskottet också, att det vill, att vederbörlig hänsyn skall tagas vid utredningen till den danska lagstiftningen, även detta i överensstämmelse med motionärernas yrkande. Då man nu emellertid från motionärernas sida har ansett, att man skulle kunna gagna den här saken på bättre sätt genom att giva fattigvårdsommittén ett bestämt direktiv, alltså ett direkt uppdrag att även syssla med frågan om änkornas barn, är det tämligen uppenbart, att åtminstone jag för min del med min syn på saken icke gärna kan gå emot en sådan hemställan, utan ifall andra kammaren skulle stanna vid ett sådant beslut så, å la bonne heurz2, har jag intet däremot.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