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238</w:t>
      </w:r>
    </w:p>
    <w:p>
      <w:r>
        <w:rPr>
          <w:b/>
        </w:rPr>
        <w:t xml:space="preserve">Datum: </w:t>
      </w:r>
      <w:r>
        <w:t>1915-05-12</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Axel Hedenlund (–, man)</w:t>
      </w:r>
    </w:p>
    <w:p>
      <w:r>
        <w:rPr>
          <w:b w:val="0"/>
        </w:rPr>
        <w:t>Herr vice talman! Jag skall till en början bekänna, att det är med stor tvekan, som jag även i år yttrar mig i föreliggande fråga. Denna min tvekan är föranledd därav, att jag mer och mer kommit till den bestämda uppfattningen, att varje, vad jag skulle vilja kalla moderat förslag i nykterhetsfrågan, upptages med så ringa sympati från stora grupper av de organiserade nykterhetsvännerna, att frågan beständigt undan för undan skjutes bort. De positioner, man en gång i denna fråga intagit, vill man icke lämna, snarare skjuta dem framåt. Vidare har man tillsammans med denna nykterhetsfråga sammankopplat något, som</w:t>
        <w:br/>
        <w:br/>
        <w:t>Om jag icke desto mindre vågar vädja till kammaren att nu antaga ett positivt förslag, så sker detta dels därför, att jag med säkerhet vågar räkna på den förhoppningen, att kammaren icke skall taga tillbaka den hand, som den förra året räckte, dels ock därför att jag har den bestämda känslan, att inom det parti, jag tillhör, det finnes ett stort intresse för nykterhetssaken och en varm önskan att få hithörande spörsmål lösta. Detta gäller, även om några av mina partikamrater i bevillningsutskottet, sådana som förhållandena föreligga, ansett sig böra ställa sig på rent avslag. Denna deras åtgärd kan jag för min del icke annat än beklaga, men så djupgående som faktiskt samtliga dessa förslag äro, kan jag likvisst, åtminstone delvis, förstå deras ståndpunkt. |</w:t>
        <w:br/>
        <w:br/>
        <w:t>Det skulle ju kunna vara frestande att söka ingå på en detaljkritik av det föreliggande utskottsbetänkandet. Men då detsamma så gott som helt och hållet är baserat på nykterhetskommitténs betänkande, vilket blivit grundligt utdebatterat såväl i riksdagen som i pressen, skulle jag endast göra mig skyldig till upprepanden. Och då jag dessutom icke så länge vågar taga kammarens tid i anspråk, skall jag blott uttala mig på ett par i</w:t>
        <w:br/>
        <w:br/>
        <w:t>Jag har redan — jag kanske får börja med den paragraf, som nu föredragits, nämligen 8 29 — kallat denna reformfråga om det lokala vetot för en rösträttsfråga. Och ingen kan väl bestrida, att genom införande av detta lokala veto en form för fattande av beslut i kommunala angelägenheter skulle komma till användning, genom vilken dessa frågor avgjordes på grundval av den lika och direkta rösträtten. Något berättigande skulle ju givetvis en sådan åtgärd kunna hava, om det visat sig, att den varit nödvändig. Men detta har så långt ifrån varit förhållandet, att jag med bestämdhet vågar påstå, att de myndigheter, som hittills haft om hand upplåtelsen av rättigheter, visat ett mycket stort nykterhetsintresse. Med den lagstittning, som vi redan äga, ha stora delar av var landsbygd redan torrlagts, och med ett bifall till herrar Nilssons i Bonarp och von Hofstens vid betänkandet fogade re-</w:t>
        <w:br/>
        <w:br/>
        <w:t xml:space="preserve">servation — som bland annat innehåller en utsträckning av det 4ng. brämakommunala vetots bestämmanderätt — skulle denna torrläggning 2 olhandde enligt min bestämda övertygelse säkert kunna fortgå, uti vad jag ordnande m.m. skulle vilja kalla fullt tilltalande former. Jag säger: tilltalande = (Forts) former»&gt;, och menar jag härmed, att man väl likvisst får anse, att de kommunala myndigheterna fatta sina beslut efter mogen överläggning och under fullt ansvar. Kan man däremot våga hoppas, att en uppagiterad allmänhet i en omröstning om det lokala vetot verkligen skulle i densamma deltaga med kallt blod? Och skulle verkligen en dylik omröstning vara önskvärd vart tredje år? Kan man ens hoppas, att samtliga svenska, till myndig ålder hunna män och </w:t>
      </w:r>
      <w:r>
        <w:rPr>
          <w:b/>
        </w:rPr>
        <w:t>kvinnor¹</w:t>
      </w:r>
      <w:r>
        <w:rPr>
          <w:b w:val="0"/>
        </w:rPr>
        <w:t xml:space="preserve"> skulle tillnärmelsevis ha satt sig in i de konsekvenser, som det lokala vetot givetvis skulle komma att medföra, och de ersättningskrav, som på grund av samma lokala veto med all säkerhet komme att framställas? Jag tror det icke. Och för min personliga del anser jag, att det lokala vetot träffar bruket mycket hårdare än missbruket, och att det med säkerhet skulle komma att ge anledning till både kringgående och lagöverträdelser.</w:t>
        <w:br/>
        <w:br/>
        <w:t>Jag borde kanske även säga nägra ord om, att det lokala vetot i den form, däri det av utskottet nu föreslagits, berör icke allenast de starkare dryckerna, den rena spirituosan, utan även vin och öl. Likaså borde jag kanske uttala mig om formerna för och bestämmelserna om denna omröstning, men då jag huvudsakligen velat rikta mig mot principen, förbigår jag detta. Däremot skulle jag, då vi ju nu hava tillfälle att yttra oss om förslaget i dess helhet, vilja vända mig mot en annan punkt i utskottets förslag, som jag finner allt annat än tilltalande och där man efter vad jag vågar säga bestämt skjuter över målet. Jag menar den omständigheten, att utskottet under rubriken »rusdrycker» inrangerat samtliga alkoholhaltiga drycker med en alkoholhalt överstigande 2 1/4 volymprocent, och att utskottet omgiver desamma, visserligen icke helt och hållet, men dock i huvudsak med samma snäva bestämmelser. Det kan enligt min mening icke vara riktigt att jämställa de starkare spritdryckerna med exempelvis det lagrade drickat; och att såsom »rusdrycker» angiva detta lagrade dricka och de lättare ölsorterna, vilka av mycket breda lager av vårt folk användas som måltidsdrycker, förefaller mig allt annat än sympatiskt.</w:t>
        <w:br/>
        <w:br/>
        <w:t>Slutligen vill jag påpeka, att enligt utskottets förslag den individuella kontrollen vid utminutering är lagd enligt det s. k. Brattska systemet, varemot såväl det författningsförslag, som kammaren nyss antagit, som den reservation, jag för en stund sedan hänvisade till medgiva betydligt friare kontrollgrunder. Härmed vill jag ingalunda rikta någon som helst kritik mot det Bratt-ka systemet. Det är möjligt, att detta är det bästa och mest effektiva. Men det är icke tillräckligt prövat, för att det icke skulle få lämna rum för även andra system, och det kan ju finnas tider och platser, då det kan vara lämpligt att ej hava bundit sig vid en utminutering av 1 liter per kalendervecka.</w:t>
        <w:br/>
        <w:br/>
        <w:t>Mot utskottets förslag och det avslagsyrkande, som för en</w:t>
        <w:br/>
        <w:br/>
        <w:t>stund sedan framställdes av den föregående ärade talaren, skulle jag vilja sätta herrar Nilssons i Bonarp och von Hofstens reservation. Deras förslag har till förebild haft Kungl. Maj:ts proposition nr 242 vid 1914 års senare riksdag och överensstämmer i allt väsentligt med det författningsförslag, som vid nämnda tillfälie av denna kammare antogs.</w:t>
        <w:br/>
        <w:br/>
        <w:t>Jag sökte under förra årets debatt i ärendet i någon mån klargöra de ledande principerna för detta förslag Aven med risk att äterupprepa mig, skall jag i dag tillåta mig att vidröra några av dess huvudsynpunkter.</w:t>
        <w:br/>
        <w:br/>
        <w:t>Förslaget söker såvitt möjligt tillgodose olika intressen, nykterhetens såväl som allmänhetens och näringsidkarnas, och vill i varje fall, så långt sig göra låter, se till, att intetdera av dessa intressen trampas under fötterna. Vad först nykterhetsintresset beträffar, så skulle all handel med alkoholhaltiga drycker så ordnas, att den helt komme att läggas under bolag och det enskilda vinstintresset därigenom bortelimineras. Åt de kommunala myndigheterna skulle givas en betydligt mer utsträckt bestämmanderätt, än vad nuvarande lagstiftning medgiver, så att exempelvis icks ens tillfälliga rättigheter skulle kunna beviljas utan vederbörande kommuns medgivande, med ett ord, ett fullständigt kommunalt veto skulle bliva rådande, med ett enda undantag för utskänkning av öl och vin vid badorter, där man ansett, att den resande allmänhetens intressen dock äro så stora, att desamma icke kunna helt och hållet underordnas kommunens bestämmanderätt. Jag medgiver gärna, att så stränga bestämmelser som att icke endast de egentliga spritdryckerna, utan även vin och maltdrycker med över 3,6 volymprocent alkohol skulle läggas under bolag, kan giva anledning till vissa betänkligheter, men dessa betänkligheter måste dock vika för nykterhetsintresset, och att en enhetlig handel med alla alkoholdrycker skulle i hög grad främja nykterhetstillståndet i vårt land, är min livliga övertygelse.</w:t>
        <w:br/>
        <w:br/>
        <w:t>Frågar man sig nu, om genom dylika bestämmelser den konsumerande allmänhetens intressen icke skulle bliva trädda alltför nära, kunna knappast några tvivel råda därom, att icke till en början rätt mycket missnöje skulle förspörjas, men jag vågar dock med bestämdhet tro, att den stora svenska allmänheten snart skulle inse, vad det gäller: bekämpandet av ett samhällsont, och att denna samma allmänhet skall vara villig att avstå från sina enskilda vanor och bekvämligheter. För den måttlige alkoholförbrukaren skulle alltid möjlighet stå öppen att förskaffa sig varor, och därtill just de varor han själv önskar, genom att hos vederbörande bolag rekvirera det eller det märket. Vin skulle man ha rättighet att direkt importera från utlandet.</w:t>
        <w:br/>
        <w:br/>
        <w:t>Vad så till sist näringsidkarna beträffar, vill jag icke ett ögonblick göra gällande, att deras intressen skulle bliva fullt tillgodosedda, men hur skulle egentligen en effektiv nykterhetslagstifning se ut, som skulle i allo och till fullo kunna tillgodose dem, om nämligen icke statens intressen skulle alltför mycket eftersättas,</w:t>
        <w:br/>
        <w:br/>
        <w:t>därigenom att stora och berättigade ersättningskrav bleve godkända. Ang. bränn- Genom lämpliga övergångstider kunde emellertid dessa närin Al TN ölåondelns enligt min mening högst väsentligt rekompenseras, och enligt beorgnande m m. stämmelserna i den nämnda reservationen skulle för spirituosahan- — (Forts) deln och hela maltdrycksindustrien övergångstiden sättas till år</w:t>
        <w:br/>
        <w:br/>
        <w:t>1921 och för den egentliga vinhandeln till år 1939.. Vidare skulle övergångstiden räcka till år 1921 för sådana handlande, som hittills</w:t>
        <w:br/>
        <w:br/>
        <w:t>jämte annan affär idkat försäljning av vin och öl. Jag är förvis-</w:t>
        <w:br/>
        <w:br/>
        <w:t>sad om att dessa övergångstider skulle göra det möjligt för den</w:t>
        <w:br/>
        <w:br/>
        <w:t>första kategorien att så ordna sina förhållanden, att en dräglig</w:t>
        <w:br/>
        <w:br/>
        <w:t>existens även i framtiden skall kunna beredas åt näringsidkarna</w:t>
        <w:br/>
        <w:br/>
        <w:t>och deras personal, och vad de näringsidkare angår, som drivit</w:t>
        <w:br/>
        <w:br/>
        <w:t>vinoch ölhandel vid sidan av annan affär, skulle de få ett visst</w:t>
        <w:br/>
        <w:br/>
        <w:t>antal år för att avveckla denna del av sin verksamhet. Man har</w:t>
        <w:br/>
        <w:br/>
        <w:t>både här i kammaren och i pressen sökt förlöjliga bestämmelsen</w:t>
        <w:br/>
        <w:br/>
        <w:t>om en övergångstid till år 1939, och jag medgiver gärna, att den</w:t>
        <w:br/>
        <w:br/>
        <w:t>kan synas väl utsträkt, men vill man verkligen tränga till botten</w:t>
        <w:br/>
        <w:br/>
        <w:t>av saken och undersöka, vilka varor det gäller, och samtidigt räkna</w:t>
        <w:br/>
        <w:br/>
        <w:t>antalet av de egentliga vinhandlarna, som finge tillgodonjuta denna övergångstid, är jag förvissad om, att man skulle få en annan syn</w:t>
        <w:br/>
        <w:br/>
        <w:t>I herrar Nilssons i Bonarp och von Hofstens reservation förekommer även ett skrivelseförslag angående utredning om ersättning för den händelse övergångstiden skulle sättas till den 1 januari 1917. För min del kan jag i det fallet icke sluta mig till de ärade reservanterna, dels därför att jag anser övergångstiden vara en av hörnstenarna i författningsförslaget, och dels därför, att om denna ersättningsfråga skulle helt upprullas, ersättningssummorna med säkerhet komme att belöpa sig till enorma belopp. Personligen har jag trott, att maltdrycksindustrien skulle finna en ej ringa ersättning i den friare ställningen för de svagt alkoholhaltiga drycker, som ej innehålla över 3,6 volymprocent alkohol, och detta så mycket hellre, som dessa drycker redan äro inarbetade i marknaden och äro synnerligen väl avpassade för den svenska smaken. Min övertygelse är också, att dessa välsmakande drycker skulle till nykterhetens fromma uttränga det starkare ölet, men för att man skall nå detta önskemål, är det absolut nödvändigt både av praktiska och tekniska skäl, att alkoholgränsen icke sättes under 3,6 2. Den komme i realiteten att nästan alltid hålla sig under 3!/2 «4, därför att bryggerierna icke skulle våga gå alltför nära gränsen. Jag har vidrört denna fråga till sist, därför att förra året om densamma utspann sig en synnerligen livlig debatt. ÅA ena sidan ville man göra gällande, att ett frigivande av dessa alkoholsvaga drycker skulle alkoholisera landsbygden. Från annat håll framkom däremot det bestämda påståendet, att det skulle bliva en alltför ringa ersättning för ölindustrien. Jag vågar icke profetera vare sig i den ena eller andra riktningen, men min personliga uppfattning är, att dessa drycker äro ofarliga, och att deras frigivande så tillvida skulle gagna nykterheten att</w:t>
        <w:br/>
        <w:br/>
        <w:t>vår bryggeriindustri för närvarande står, den skulle kunna så arrangera sig, att den i ett frigivande av dessa drycker komme att finna en, om icke full, så dock god ersättning för den försvårade försäljningen av det egentliga ölet.</w:t>
        <w:br/>
        <w:br/>
        <w:t>På den punkt av frågans behandling, där vi nu befinna oss, skall jag icke vidare taga kammarens tid i anspråk, utan jag anhåller, herr talman, att få yrka avslag på utskottets betänkande beträffande den 29 paragrafen.</w:t>
      </w:r>
    </w:p>
    <w:p>
      <w:pPr>
        <w:pStyle w:val="Heading2"/>
      </w:pPr>
      <w:r>
        <w:t>2. Karl Karlsson (Liberala samlingspartiet, man)</w:t>
      </w:r>
    </w:p>
    <w:p>
      <w:r>
        <w:rPr>
          <w:b w:val="0"/>
        </w:rPr>
        <w:t>Herr talman, mina herrar! Den förste talaren i debatten angående detta betänkande uttryckte en farhåga för att kammaren skulle tröttna på att behandla dessa nykterhetsmotioner. Det är ju möjligt, att så kan vara förhållandet, men å andra sidan är det väl dock så, att denna fråga är av den betydelse, att man icke kan tillbakavisa den endast under den förevändningen, att man är uttröttad på att höra talas om densamma. Det är ju så, att frågan ute i landet i vida kretsar är föremål för stort intresse, och då är det en ganska naturlig sak, om detta intresse får något uttryck även här i riksdagen. Det har förefallit många, som om det arbete, som nykterhetskommittén nedlagt på utarbetandet av en genomgående reformering av lagstiftningen beträffande alkoholhaltiga drycker, vore av sådan beskaffenhet, att den borde vinna tillämpning. Jag har blivit uppvaktad av en deputation, sammansatt av ledamöter av Sveriges olika nykterhetssällskap, som till den 11 november 1914 inbjudit intresserade nykterhetsvänner ur alla politiska partier till en överläggning i avsikt att söka få till stånd ett mer samlat och enhetligt uppträdande för ernående av en effektiv rusdryckslagstiftning. De har framhållits av denna samling av nykterhetsvänner, att under de överläggningar, som de hade, det visat sig, att samtliga voro eniga om den uppfattningen, att det av nykterhetskommittén framlagda och av riksdagens andra kammare antagna förslaget till ny försäljningslagstiftning med lokalt veto som en oskiljaktig del därav, borde allt fortfarande utgöra grundvalen för Sveriges nykterhetsvänners samlade uppträdande för att genomföra ett skyndsamt antagande av en effektiv nykterhetsreform. Det konstituerades den 25 i samma månad en sammanslutning, som kullades för Samverkande nykterhetsvänners centralkommitté. Därefter föranstaltades om utarbetande av ett upprop till Sveriges nykterhetsvänliga medborgare med uppmaning att uttala sig 1 den föreliggande frågan, d. v. s. angående vad som på detta område bör åtgöras, och det meddelas i en skrift, som har till rubrik »Opinionsyttring angående ny rusdryckslagstiftning med lokalt veto», att icke mindre än 4,191 församlingar och föreningar, representerande 353,160 medborgare, uttalat sig för nykterhetskommitténs förslag, med upptagandet av det lokala vetot.</w:t>
        <w:br/>
        <w:br/>
        <w:t>Det förefaller mig, som om man icke helt och hållet kan förbise opinionsyttringar av denna beskaffenhet och endast tala om</w:t>
        <w:br/>
        <w:br/>
        <w:t xml:space="preserve">att riksdagen eller första kammaren skulle tröttna på att taga Ang. bräsaemot förslag angående reformering av rusdryckslagstiftningen. 0 ölkordelag Jag skall villigt erkänna, att riksdagen under de senare åren Vidsranande m m. tagit många åtgärder, som syfta till att på detta område få bättre (Forts) förhållanden, men fortfarande återstår säkerligen mycket att önska, | och jag har alltjämt den övertygelsen, att det förslag, som nykterhetskommittén framlagt, verkligen innebär en synnerligen lycklig lösning av frågan. Jag skall, herr talman, be att med några ord få uppehålla mig vid frågan om den kommunala folkomröstningen, då det är den första paragrafen i det kapitel, som handlar om den kommunala folkomröstningen, som nu är föredragen. Det har sagts här, att denna fråga är en rösträttsfråga, och man har ansett sig därför kunna ställa sig avvisande till densamma. Man kan ju icke helt och hållet tillbakavisa påståendet, att det är en rösträttsfråga. Det är ju så, att man vill bryta ut ett visst litet område för att underlägga detta det lokala vetot. Den talare, som först hade ordet, yttrade, att han icke kan vara med om detta, ty lagstiftningen skall ombesörjas av de lagstiftande myndigheterna. Detta är en självklar sak, och jag föreställer mig, att ingen anhängare av det lokala vetot heller har tänkt något annat än att de lagstiftande myndigheterna skulle träffa bestämmelser angående huru sådana kommunala folkomröstningar skulle äga rum, liksom de lagstiftande myndigheterna träffat bestämmelser för huru det skall gå till för närvarande, då man på kommunalstämmor eller i stadsfullmäktigeförsamlingar eller kommunalfullmäktige beslutar i dessa frågor. Nu kan man fråga sig: varför gkulle man på detta område ha en annan form för beslutanderätten inom kommunerna än beträffande andra frågor? För min del tror jag, att man kort och gott kan besvara detta därmed, att det gäller ett område, där det stora folkflertalet är i alldeles eminent grad sakkunnigt. Det är sakkunnigt, kanske icke i fråga om tillverkning och försäljning av dessa drycker, men väl då det gäller de alkoholhaltiga dryckernas skadeverkningar. Det förefaller mig icke vara rättvist, att vid bedömande och beslut om huruvida försäljning av dessa drycker må äga rum i en kommun, den förmögne skall ha mer att säga till om än den fattige. Det är den fattige, som framför allt lider av dessa dryckers verkningar, och därför förefaller det mig, att han borde ha åtminstone lika mycket att säga till om som den förmögne. Den kommunala folkomröstningen skulle även bereda </w:t>
      </w:r>
      <w:r>
        <w:rPr>
          <w:b/>
        </w:rPr>
        <w:t>kvinnorna¹</w:t>
      </w:r>
      <w:r>
        <w:rPr>
          <w:b w:val="0"/>
        </w:rPr>
        <w:t xml:space="preserve"> tillfälle att lägga sin röst i vågskålen i detta avseende. Jag vet visserligen, att då man säger detta, det måhända icke utgör någon särskild lockelse för denna kammare att gå med på förslaget. Jag finner mig i alla händelser icke böra sticka under stol med min åsikt, att då det ständigt säges, att det är </w:t>
      </w:r>
      <w:r>
        <w:rPr>
          <w:b/>
        </w:rPr>
        <w:t>kvinnorna¹</w:t>
      </w:r>
      <w:r>
        <w:rPr>
          <w:b w:val="0"/>
        </w:rPr>
        <w:t>, som framför allt skola värna om hemmet och ungdomen, man, om man anser dem vara kompetenta till detta, även borde anse dem vara kompetenta till att ha inflytande på ifrågavarande lagstiftning.</w:t>
        <w:br/>
        <w:br/>
        <w:t xml:space="preserve">Den kommunala folkomröstningen skulle alltså bereda ökat inflytande åt de mindre bemedlade och åt </w:t>
      </w:r>
      <w:r>
        <w:rPr>
          <w:b/>
        </w:rPr>
        <w:t>kvinnorna¹</w:t>
      </w:r>
      <w:r>
        <w:rPr>
          <w:b w:val="0"/>
        </w:rPr>
        <w:t>, då det gäller att bestämma, huruvida handeln med alkoholhaltiga drycker skulle få äga rum eller icke. Detta har jag för min del funnit vara den avgörande synpunkten härvidlag och det viktigaste skälet, för att man på detta område skulle införa ett annat slag av bestämmanderätt än beträffande andra kommunala ärenden.</w:t>
        <w:br/>
        <w:br/>
        <w:t>Jag har emellertid beträffande sättet för omröstningen haft en annan mening än utskottet, ehuru jag för ögonblicket icke anser mig ha någon anledning att uppehålla mig vid denna särmening, men för den händelse kammaren bifaller denna paragraf, ämnar jag, då vi komma till 30 och 31 8$, framhålla min mening i detta avseende och förfäkta den.</w:t>
        <w:br/>
        <w:br/>
        <w:t>Emellertid, herr talman, visar det sig ju mycket tydligt, att den förste talaren hade rätt, då han sade, att kammaren var uttröttad på detta spörsmål, och jag skall icke vidare SE För ögonblicket ber jag emellertid att få yrka bifall ill 29 8.</w:t>
        <w:br/>
        <w:br/>
        <w:t>Som tiden var tämligen långt framskriden och ytterligare flera av kammarens ledamöter begärt ordet i förevarande fråga, hemställde herr talmannen, att den fortsatta behandlingen av föreliggande betänkande ävensom av övriga på föredragningslistan uppförda ärenden måtte uppskjutas till aftonsammanträdet.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238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