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244</w:t>
      </w:r>
    </w:p>
    <w:p>
      <w:r>
        <w:rPr>
          <w:b/>
        </w:rPr>
        <w:t xml:space="preserve">Datum: </w:t>
      </w:r>
      <w:r>
        <w:t>1916-02-28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Charles Lindley (Socialdemokraterna, man)</w:t>
      </w:r>
    </w:p>
    <w:p>
      <w:r>
        <w:rPr>
          <w:b w:val="0"/>
        </w:rPr>
        <w:t>Även jag måste säga, att jag i stort sett icke är så stormförtjust 1 denna slags avfattning. Även jag har en avvikande mening beträffande dess formulering. Jag utgår emellertid från en diametralt motsatt uppfattning mot den som här gjorts gällande. Jag känner mig upprörd på grund av lagförslagets etiska läggning från en annan synpunkt nämligen den att vissa privilegierade personer kunna på grund av ekonomiska tillgångar få möjlighet att tillförsäkra sig gravplatser, som här skola vårdas för evig tid, oavsett huruvida dessa personer gjort någon stor samhällsnyttig insats eller icke, under det att andra på grund av deras fattigdom stoppas ned i en allmän grav för att så veta, att deras ben skola skingras efter en tid av 15 å 20 år. Det är vad jag kallar upprörande. När man frågar, varför det förhåller sig så, får man endast det svaret: den ene har råd att kosta på sig detta, har råd att betala kyrkogårdsmyndigheterna ett visst belopp för vård av graven i evig tid, under det att den andre är fattig.</w:t>
        <w:br/>
        <w:br/>
        <w:t>Går man ut på de kyrkogårdar, som finnas i samband med våra storstäder, och tager i betraktande de stora monumentala byggnader och palats. som där äro uppförda och få tagas i anspråk, måste man säga, att det är upprörande att se allt detta. Undersöker man sedan,</w:t>
        <w:br/>
        <w:br/>
        <w:t>Lagförslag om vilka de människor äro som vila där, måste det sägas, att det är icke</w:t>
        <w:br/>
        <w:br/>
        <w:t>banbrytarne på det kulturella området, det är icke våra tänkare, icke våra stormän på de områden, där vi anse deras minne böra hedras, utan det är byggmästare, entreprenörer och korvfabrikanter; och jag tror, att efter det nuvarande stora guldtillflödet i landet skola vi där finna gulaschbaroner med sina monumentala gravar, som skola vittna om denna härliga tid, då kriget rasade och stora penningsummor kunde förtjänas.</w:t>
        <w:br/>
        <w:br/>
        <w:t xml:space="preserve">Jag undrar över att den pietet, som herr von Geijer talade om, icke tagit sig starkare uttryck för att reagera mot det system, som visserligen kanske är nödvändigt därför att vi ha begränsade områden att begrava våra döda på, men som ger sig tillkänna så, att man får se </w:t>
      </w:r>
      <w:r>
        <w:rPr>
          <w:b/>
        </w:rPr>
        <w:t>mödrar²</w:t>
      </w:r>
      <w:r>
        <w:rPr>
          <w:b w:val="0"/>
        </w:rPr>
        <w:t xml:space="preserve"> stå gråtande bredvid, när man raserar de gravar, där deras barn jordades för endast ett fåtal år sedan, för att grävas upp och planläggas på nytt. Jag har sett detta i Stockholm gång efter annan och jag har känt mig upprörd däröver och det är förvånande, att kyrkomötet icke haft någon tanke just på denna fråga.</w:t>
        <w:br/>
        <w:br/>
        <w:t>Det är ju möjligt, att det icke finnes någon bot för detta, förrän vi få omlagt hela det begravningssystem vi nu ha. Jag är icke oresonlig; jag tror att det kanske är omöjligt att tillförsäkra varje medborgare den lilla jordyta, där hans stoft skulle få vila, medan hans närmaste anhöriga ännu finnas kvar i livet; men kan man icke tillförsäkra honom detta, är det väl bäst att införa obligatorisk likbränning. Det är under sådana förhållanden det enda praktiska och det är också den enda vägen att åstadkomma ett verkligt demokratiskt begravningssätt, genom vilket alla behandlas lika efter döden.</w:t>
      </w:r>
    </w:p>
    <w:p>
      <w:pPr>
        <w:pStyle w:val="Heading2"/>
      </w:pPr>
      <w:r>
        <w:t>2. Berndt Hasselrot (–, man)</w:t>
      </w:r>
    </w:p>
    <w:p>
      <w:r>
        <w:rPr>
          <w:b w:val="0"/>
        </w:rPr>
        <w:t>Herr von Geijers första yttrande var i viss mån ägnat att återföra i mitt minne debatten från kyrkomötet i höstas om äktenskapslagstiftningen. När den frågan var före, hörde man från vissa håll framkastas den farhågan, att om förslaget antoges, rent av kristendomens grundvalar skulle skakas, om inte helt och hållet kullstörtas. Nu säger herr von Geijer, att om det föreliggande förelaget med vilket ju kyrkomötet också haft att skaffa, antages, så riskerar Sveriges folk, att våra privata gravar på kyrkogårdarna kunde komma att spolieras. Jag undrar om icke i detta hans påstående ligger ungefär lika mycken överdrift som i det förstnämnda.</w:t>
        <w:br/>
        <w:br/>
        <w:t>Jag har aldrig förnekat utan tvärt om uttryckligen framhållit, att det händer allt emellanåt, att kyrkogårdsförvaltningarna underlåta sina skyldigheter i avseende å vården av vissa gravar. Men det är icke endast på detta område utan även på många andra områden, som föreskrifter om vård och underhåll försummas och icke efterlevas. Är det icke då rimligare att söka råda bot för detta missförhållande i en enda lag?</w:t>
        <w:br/>
        <w:br/>
        <w:t>Om man efter många mödor och minst lika många bekymmer lyckats åstadkomma ett lagförslag, som utan anmärkning gått genom den formellt juridiska behandlingen i lagrådet. men detta förslag sedan av riksdagen förkastas av rent formella skäl, av skäl, som be-</w:t>
        <w:br/>
        <w:br/>
        <w:t>tyda så litet som enligt min mening de göra, vilka här framhållits, Tee då är det verkligen icke särdeles nöjsamt att vara Justitieminister — ”yttjander</w:t>
        <w:br/>
        <w:br/>
        <w:t>ju, såsom andra talare nyss nämnt, vara präglad av pietet och varför icke i viss mån av idealitet. Nu kan man ju med herr Alexanderson säga, att folkets eller allmänhetens syn på förevarande lagstiftning icke är beroende av huruvila de bestämmelser, som sammanhänga med lagen om nyttjanderätt till fast egendom, införas antingen i vissa paragrafer av samma lag eller, såsom herr Ekman föreslagit, genom en särskild anmärkning eller anteckning i promulgationslagens 2 8. Jag har dock en delvis annan uppfattning. Jag tror, att den känsla av pietet, som vi anse vara eftersträvansvärd, blir för den stora allmänheten klarare genom en allmän bestämmelse därom, att den nya Jordabalken icke skall gälla i avseende å lagen om nyttjanderätt till gravplats. Därför får jag i korthet yrka bifall till min reservation eller till herr Ekmans motion i förevarande punkt.</w:t>
        <w:br/>
        <w:br/>
        <w:t>Den, som undergår straffarbete, skall hållas till arbete, som av vederbörande fångvårdsmyndighet för honom bestämmes. Där så lämpligen kan ske, skall arbetet vara av beskaffenhet att bereda fången tillfälle till förkovran i hans yrke eller till annan utbildning, som kan främja utsikterna för honom att efter frigivningen försörja sig, och bör vid valet av arbete hänsyn tagas till hans håg och fallenhet. Till andel i inkomst för arbetet äge han ej rätt; dock kan för flit och ordentlighet i arbetet i förening med gott uppförande arbetspremie tilldelas honom.</w:t>
        <w:br/>
        <w:br/>
        <w:t xml:space="preserve">de av omständigheter, varom nyss är sagt, tillstånd meddelas fånge, vilken ej undergår straffskärpning, att emottaga besök av </w:t>
      </w:r>
      <w:r>
        <w:rPr>
          <w:b/>
        </w:rPr>
        <w:t>maka³</w:t>
      </w:r>
      <w:r>
        <w:rPr>
          <w:b w:val="0"/>
        </w:rPr>
        <w:t>, föräldrar, barn, syskon eller andra närstående, där ej ordningen eller säkerheten inom straffanstalten kan därigenom äventyras eller besöket anses eljest kunna verka skadligt. Anmälan om sådant besök skall ske hos straffanstaltens styresman, som skall för besök bestämma lämplig tid samt, om han så aktar nödigt, förordna, att under besöket bevakningstjänsteman skall vara tillstädes.</w:t>
        <w:br/>
        <w:br/>
        <w:t>Brev eller annat skriftligt meddelande eller bud till eller från annan inom eller utom starffanstalten må icke av fången avsändas eller emottagas, utan att straffanstaltens styresman, efter prövning i varje fall, lämnar tillstånd därtill. Fången må dock icke förvägras att till svensk myndighet avsända skriftlig framställning, såvitt den är avfattad i hövisk form.</w:t>
        <w:br/>
        <w:br/>
        <w:t>Vid tillämpning av ovan givna bestämmelser skall, där så lämpligen kan ske, iakttagas, att gradvis inträdande förmåner beredas fången i mån av gott uppförande och avtjänad strafftid.</w:t>
        <w:br/>
        <w:br/>
        <w:t xml:space="preserve">Av annan än vid straffanstalten anställd bevakningstjänsteman, läkare eller präst samt de personer, som hava uppsikt över straffanstalten eller där till följd av tjänstebefattning eller fångvårdsstyrelsens beslut, äga tillträde, må fången ej mottaga besök, med mindre straffanstaltens styresman därtill lämnat tillstånd. Tillstånd att emottaga besök av </w:t>
      </w:r>
      <w:r>
        <w:rPr>
          <w:b/>
        </w:rPr>
        <w:t>maka³</w:t>
      </w:r>
      <w:r>
        <w:rPr>
          <w:b w:val="0"/>
        </w:rPr>
        <w:t>, föräldrar, barn, syskon eller andra närstående, må meddelas fånge, vilken ej undergår straffskärpning, där ej ordningen eller säkerheten inom straffanstalten kan därigenom äventyras eller besöket anses eljest kunna verka skadligt. Anmälan om sådant besök skall ske hos straffanstaltens styresman, som skall för besöket bestämma lämplig tid samt, om han så aktar nödigt, förordna, att under besöket bevakningstjänsteman skall vara tillstädes.</w:t>
        <w:br/>
        <w:br/>
        <w:t>Tiilstånd att emottaga besök av andra än nyss nämnda anhöriga kan allenast meddelas fånge, därest omständigheter av särskild vikt för</w:t>
        <w:br/>
        <w:br/>
        <w:t>fången prövas föreligga för besöket. Bevo no — nn form. Vid tillämpning — — — — strafftid.</w:t>
      </w:r>
    </w:p>
    <w:p>
      <w:pPr>
        <w:pStyle w:val="Heading2"/>
      </w:pPr>
      <w:r>
        <w:t>3. Fredrik Holmquist (Liberala samlingspartiet, man)</w:t>
      </w:r>
    </w:p>
    <w:p>
      <w:r>
        <w:rPr>
          <w:b w:val="0"/>
        </w:rPr>
        <w:t xml:space="preserve">Herr greve och talman! Den enda punkt i det föreliggande lagförslaget, vid vilken uppfattningarna inom utskottet delat sig, är 2 8. I denna paragraf, sådan den av utskottets majoritet blivit tillstyrkt, stadgas, att straffarbetsfånge icke annat än i särskilda undantagsfall och endast efter prövning och medgivande av straffanstaltens föreståndare får mottaga besök av närstående: föräldrar, </w:t>
      </w:r>
      <w:r>
        <w:rPr>
          <w:b/>
        </w:rPr>
        <w:t>hustru²</w:t>
      </w:r>
      <w:r>
        <w:rPr>
          <w:b w:val="0"/>
        </w:rPr>
        <w:t xml:space="preserve">, barn och andra. Mot denna bestämmelse, som ju hittills under en ganska lång tid varit gällande, har en del av utskottets ledamöter avgivit en reservation. För min del har jag omfattat den åskådning, som i denna reservation tagit sig uttryck. Jag känner mycket väl till, att denna bestämmelse, som för en tid av tre månader kringskär straffarbetsfånges rätt att mottaga besök av närstående infördes därför, att man ville skärpa de kortvariga frihetestraffen och för den skull ansåg sig böra tillgripa ett sådant stadgande. Emellertid har jag från många på fångvårdens område väl bevandrade personer hört och även själv kommit till den uppfattningen, att ett sådant stadgande som det ifrågavarande är något ganska hårt och verkar hårt i mer än en riktning. Det lär väl knappast kunna ifrågasättas annat, än att vid det tillfälle, då en lagfälld beträder fängelset, i vanliga fall just den tid är inne, då han bör känna det hårdast att lämna de sina och bör känna det mest avskräckande att i följd av domen få sin bostad inom fängelsets murar. Då torde väl också under vanliga omständigheter den tidpunkt vara inne, då han är mest mottaglig för en sinnesförändring, då han bör ångra sin förseelse eller sitt brott, som fört honom i det sorgliga läget, och då följaktligen de impulser till det bättre, som han kan mottaga genom besök av en sörjande far eller </w:t>
      </w:r>
      <w:r>
        <w:rPr>
          <w:b/>
        </w:rPr>
        <w:t>mor²</w:t>
      </w:r>
      <w:r>
        <w:rPr>
          <w:b w:val="0"/>
        </w:rPr>
        <w:t xml:space="preserve"> eller en </w:t>
      </w:r>
      <w:r>
        <w:rPr>
          <w:b/>
        </w:rPr>
        <w:t>hustru²</w:t>
      </w:r>
      <w:r>
        <w:rPr>
          <w:b w:val="0"/>
        </w:rPr>
        <w:t xml:space="preserve"> eller barn, särskilt böra kunna inverka på honom till en ny sinnesriktning, förbättring och framtida hopp. Å andra sidan är det nog mycket svårt att låta en person i det sorgliga läget förstå denna sak, tremånadersgränsen, d. v. s. att för honom förklara, varför han icke under den närmaste tiden av tre månader skall kunna få träffa en närstående för att inför sitt eget samvete och inför medkännande få göra upp sin av ett brott föranledda sorgliga ställning. Sedan tiden gått och han även möjligen under fängelsetidens monotoni funnit, att det dock icke är så farligt med det här straffet, då kan det låta tänka sig, att han blivit mera förhärdad och mindre mottaglig för de goda intryck, som ett sammanträffande den första tiden med dessa närstående skulle hava kunnat innebära.</w:t>
        <w:br/>
        <w:br/>
        <w:t xml:space="preserve">Men även åt ett annat håll sträcker sig detta förbud och har där, enligt min uppfattniag, än mindre välgörande verkningar. Det är alldeles naturligt, att det är just under den första tiden en sörjande far eller </w:t>
      </w:r>
      <w:r>
        <w:rPr>
          <w:b/>
        </w:rPr>
        <w:t>mor²</w:t>
      </w:r>
      <w:r>
        <w:rPr>
          <w:b w:val="0"/>
        </w:rPr>
        <w:t xml:space="preserve"> eller barn har ett alldeles särskilt behov av att få träffa en person, som kommit i den sorgliga ställningen att hamna inom fängelsets murar. Och det är ändå svårare att för dem förklara, att detta går icke för sig förr än tre månader förflutit från den dag, då han inträtt inom fängelse-</w:t>
        <w:br/>
        <w:br/>
        <w:t>rten. Den misstämning och den sorg, som vid sådana tillfällen yttrar sig, tar ofta till föremål föreståndaren för fängelset och fångbevakningen. Man kan icke riktigt förstå innebörden av ett sådant sakernas läge, varigenom man är förhindrad att få för några ögonblick träffa den dömde och mottaga hans känslor och skänka honom sina egna.</w:t>
        <w:br/>
        <w:br/>
        <w:t xml:space="preserve">Jag står nu långt ifrån ensam om denna åskådning. Jag tror, att inom fångvårdskretsar har en uppfattning ungefär likartad med den, som jag nu företräder, sedan lång tid tillbaka gjort sig gällande, och jag ber särskilt att få påpeka, hurusom svenska fångvårdssällskapets styrelse i denna fråga gjort ett uttalande, som uttrycker ungefär detsamma som jag nu anfört. Jag ber att få framhålla, att i slutet av detta uttalande heter det med utgångspunkt från den tid, då fången inträder i fängelset, följande: »Fången är fylld av bekymmer över huru </w:t>
      </w:r>
      <w:r>
        <w:rPr>
          <w:b/>
        </w:rPr>
        <w:t>hustru²</w:t>
      </w:r>
      <w:r>
        <w:rPr>
          <w:b w:val="0"/>
        </w:rPr>
        <w:t xml:space="preserve"> och barn ha det, han vill bedja dem eller sina gamla föräldrar om förlåtelse, han vill verkligen öppna sitt sinne, men till svar på allt detta får han blott: »när tre månader gått, får Ni taga emot besök». Flera av oss, som underskrivit denna vår framställning, hava haft tillfälle att se, och det vid upprepade tillfällen, huru som denna hårda vägran verkat förstockande och förbittrande på fången, ej minst emot fångvården och dess funktionärer, och på de närstående hava vi sett samma verkan, på den gråtande, ensam lämnade </w:t>
      </w:r>
      <w:r>
        <w:rPr>
          <w:b/>
        </w:rPr>
        <w:t>hustrun²</w:t>
      </w:r>
      <w:r>
        <w:rPr>
          <w:b w:val="0"/>
        </w:rPr>
        <w:t xml:space="preserve"> med sina små barn omkring sig, gått bort med förtvivlan i sinnet: om tre månader först får jag tala vid min man.</w:t>
        <w:br/>
        <w:br/>
        <w:t>Den som haft tillfälle att i praktisk fångvårdstjänst iakt taga allt detta, vet huru viktigt det är för en rätt påverkan av fången, att han just under den första tiden får mottaga besök. När tre månader gått, har han hunnit vänja sig vid fängelset, som han då kanske ej finner så avskräckande; hans känslor av ånger och oro hava förflyktigats. Strafftiden är kanske snart slut, fången tager det hela med jämnmod.»</w:t>
        <w:br/>
        <w:br/>
        <w:t>Ja, herr talman, det är ju ingen av utskottets ledamöter från denna kammare, som vid denna paragraf av lagförslaget reserverat sig, och jag har följaktligen mycket liten anledning att tro, att jag nu kan avvinna kammaren något annat beslut än om bifall till utskottets förslag, men jag anser mig dock på grund av min uppfattning i föreliggande fråga förpliktad att å min sida yrka bifall till den vid denna paragraf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