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1321</w:t>
      </w:r>
    </w:p>
    <w:p>
      <w:r>
        <w:rPr>
          <w:b/>
        </w:rPr>
        <w:t xml:space="preserve">Datum: </w:t>
      </w:r>
      <w:r>
        <w:t>1916-03-29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Fabian Månsson (Socialdemokraterna, man)</w:t>
      </w:r>
    </w:p>
    <w:p>
      <w:r>
        <w:rPr>
          <w:b w:val="0"/>
        </w:rPr>
        <w:t>Herr talman! Under de sista åren och de sista årtiondena företer denna huvudtitel liksom den femte en stor och oavbruten stegring. De krafter, som ha hållit igen emot den, ha blivit allt svagare och svagare, och man kan knappast tala om något allvarligt motstånd emot de sig allt bredare görande militära kraven, sedan det parti, som i dag i denna kammare endast räknar två f. d. medlemmar, såvitt jag vet, uppgav motståndet mot densamma. Jag menar herrar Andersson i Skivarp och Persson i Stallerhult. Sedan dess se vi, hur förvånande stor stegringen har varit. Och jag kan först som sist säga, att efter mitt förmenande har det icke varit slapphet som varit orsaken. Det har varit en i de djupa leden brinnande varm patriotism. Man har trott på de härskande klassernas försäkringar, att de ömmat om fäderneslandets väl. Man har trott, att dessa klasser med den bildning och uppfostran och möjlighet till världsöversikt, som de erhålla, till stor del på samhällets bekostnad, skulle vara villiga att osjälviskt ägna fäderneslandet sina tjänster såsom ledare för de övriga samhällslagren. Under denna stegring har Sveriges folk. först bönderna och sedan arbetarna, gått med på allt större och större utgifter och bördor för att möjliggöra åtgärder, som gentemot hot från utlandet skulle vara ägnade att tillförsäkra oss en relativ trygghet enligt den bekanta satsen om den största möjliga risken. D. v. s. man ansåg att ju mer vi voro rustade, desto mer skulle utlandet betänka sig, innan det angrepe oss, och lämna oss i fred.</w:t>
        <w:br/>
        <w:br/>
        <w:t>Under denna uppoffrande och patriotiska stämning se vi i budgeten denna fjärde huvudtitel ökas ifrån 1881, då den var 18,.294,348 kronor, till 23 miljoner 1893, 28 miljoner 1896, 44 miljoner 1902, 48 miljoner 1903, 55 miljoner 1905, 54 miljoner 1908, 54 miljoner 1911 och 1916 104 miljoner kronor, utom de betydande engångskostnaderna för det sistnämnda året.</w:t>
        <w:br/>
        <w:br/>
        <w:t>Om jag ser på fjärde och femte huvudtitlarna tillsammantagna, och jag antager herr talmannen ursäktar mig att jag här lämnar en översikt även över dem, så finner jag följande siffror. År 1880 är hela totalbudgeten till militärväsendet 24,578,172 kronor, år 1887, året före tullarnas tillkomst, när underklassen fick åtaga sig så gott som alla bördor för landets underhållande, uppgick den till 29,667,377 kronor. År 1889 är den fortfarande 29 miljoner kro-</w:t>
        <w:br/>
        <w:br/>
        <w:t>nor. Man har icke ännu hunnit erfara, att statskroppen lider av den statskassans sjukliga fetma, som uppkom genom tullarnas tillkomst. År 1896 är denna siffra 39,042,906 kronor, år 1902 67,572,028, år 1905 77,160,700, år 1908 80,077,700 kronor. År 1916 äro vi, om engångskostnaderna medtagas, uppe i en summa för bägge huvudtitlarna av 174,171,364 kronor.</w:t>
        <w:br/>
        <w:br/>
        <w:t>Mina herrar, vad betyder nu en försvarsbudget av 174 miljoner kronor såsom den budget som vi ha för i år? Det betyder, att denna försvarsbudget är dubbelt så stor som 1889 års hela statsbudget var, nämligen 87 miljoner kronor. Men, säger man, det är bra långt att gå tillbaka till tiden före tullarnas antagande år 1887. Nå, om vi flytta oss närmare, då se vi att ännu inne på detta sekel, år 1904, var statsbudgeten 173 miljoner. Nu är vår samlade försvarsbudget större än hela statsbudgeten var år 1904. Det är nog siffror, som redan i och för sig, även om de syftade till det mål de angivas vara avsedda för, synas vara nog så betänkliga.</w:t>
        <w:br/>
        <w:br/>
        <w:t>Men jag kan nu efter de tjugu månader som gått under världskriget icke undgå att göra mig den frågan: vad ha vi för dessa miljoner kronor, för utslungandet av dessa miljoner dagsverken, som kunnat komma odlingen av landets jord och andra arbetsföretag till godo, vad ha vi för dem? Det är väl ingen som tvivlar på att icke Norge, Danmark, Schweiz och Holland med långt lägre försvarsbudget leva ett långt tryggare liv mitt under världskrigets stormar än de över huvudet i rustningsbördor nedsjunkna Sverige och Rumänien. Det har förkunnats att »man måste rusta för kriget för att få behålla freden». Den satsen är mycket betecknande för det slags slagord som man använder, när man vill få folk att gå med på någonting, som skulle förefalla vanligt sunt bondförnuft alldeles orimligt. Det är en sådan där paradoxal sats av Machiavellisk art, som man aldrig riktigt vet om den är ett hån mot existerande sambhällsföreteelser eller en cynism, framkommen ur det moraliska mörker, vari de makthavande sedan urminnes tider befunnit sig, men av vilket de numera skryta. När jag nu ser på de tidnin gar och tidskrifter, som utkomma och utges av högern i alla länder, så kan jag inte nog förundra mig över, säger jag, att mar rent av skryter över att vara omoralisk och dekadent. Jag läste häromdagen i en tidskrift följande ord: »Fordringarna att rätten och icke makten skall behärska världen äro vansinne». I ett följande häfte af samma tidskrift läste jag: »Det må överlåtas åt den omogne och ofrie att väga allt moraliskt». Den mogne och frie gör det som är omoraliskt bara det passar honom och föraktar dem, som äro svaga nog att »väga allt moraliskt».</w:t>
        <w:br/>
        <w:br/>
        <w:t>Som jag sade ha vi under detta krig för dessa ofantliga utgifter långt mindre trygghet än vi skulle haft, om vi icke haft en enda krona utgiven på dessa huvudtitlar. Det har nämligen under dessa tjugu månader inträffat händelser, som icke den mest vildsinte samhällshädare kunnat uppkonstruera förut. Ingen skämtare har kunnat driva samhällskarikatyren till en sådan spets som högerns skribenter gjort här i landet under de tjugu månader världs-</w:t>
        <w:br/>
        <w:br/>
        <w:t>Ang. anslaget kriget pågått. Jag skall inte i dag besvära kammaren med några</w:t>
        <w:br/>
        <w:br/>
        <w:t xml:space="preserve">citat. Jag har en avsevärd samling och den kommer nog att en gång på ett eller annat vis här eller annorstädes offentliggöras. Man må vara på det klara med att en sådan agitation, driven från det håll, där man väntar sig finna omsorg om samhällets uppbyggande och bestånd, och tolererad av samhällsmakterna, en sådan agitation kommer att bära frukt i sinom tid. Man skulle misstaga sig på tidens allvar alltför mycket annars. Men vad den än har gjort, så har den för all framtid knäckt min tro på de härskande klassernas, de förmögna klassernas, de ätande och matsmältande klassernas förmåga att göra någonting för samhället. Det återstår för mig ingenting annat än att vända mig till de arbetande, de fattiga, som inte ha annat än sina trasor och sin fattigdom och ofrihet att slåss för, och för dem påpeka fäderneslandets nöd i yttre och inre avseende, försöka av dem skapa en makt, som en gång kan vara stark nog att </w:t>
      </w:r>
      <w:r>
        <w:rPr>
          <w:b/>
        </w:rPr>
        <w:t>maka³</w:t>
      </w:r>
      <w:r>
        <w:rPr>
          <w:b w:val="0"/>
        </w:rPr>
        <w:t xml:space="preserve"> herrar ätare och matsmältare åt sidan.</w:t>
        <w:br/>
        <w:br/>
        <w:t>Ja, jag är botad för min villfarelse. Jag hade trott, att man skulle kunna hand i hand med de klasser som sades vara de ledande, kallade att vara ledande, fostrade att vara ledande, därför att de hade kunskaper och, såsom jag nyss sade, världsöversikt, jag hade trott, säger jag, att man skulle kunna hand i hand med dem uppbygga samhället, bota dess revor och framskapa nya och bättre förhållanden på försummade områden. Jag har räknat fel, och man skall icke lura mig att räkna med dem en gång till. Jag har haft den uppfattningen, som nu under den agitation som pågått visat sig fullkomligt felaktig, att de borgerliga klasserna ville en utökning av militärväsendet för att därigenom trygga Sveriges ställning som självständig stat. Högerns agitation dessa månader, herr Lindmans slingerbultar, när han klämdes på remissdebattsdagen, herr Tryggers djupa bugningar för den aktivistiska agitationen hava visat, att det icke är fäderneslandets trygghet, som är det förnämsta för dem. Den utmaningsagitation mot andra länder, som fått ostörd pågå här i landet och som tagit sig uttryck i högerpressen, 1 broschyrer, som man haft oförskämdheten att dela ut här på kamrarnas bord — jag skall blott erinra om en från Hälsingborgs dagblad — denna agitation har i de djupa leden framkallat först förvåning och nu en vrede, som snart icke finner några ord. Man frågar sig överallt med bävan, om spelet från vårt sista krigsäventyr skall upprepas.</w:t>
        <w:br/>
        <w:br/>
        <w:t>Jag minnes en proklamation av den 15 mars 1809. Däri klagar den dåvarande hertigen av Södermanland över de brottsliga åtgärder genom vilka man bragt Sverige in i ett krigssystem, »som så litet syntes lämpligt för ett land, vars neutralitet av handelsoch näringsintressen påkallades och av en lycklig geografisk belägenhet borde vara fredad». Det är ord, som skulle kunna vara skrivna i dag, som till fullo passa in på den nuvarande situationen och som jag menar man bör erinra om, när vi äro i den situationen, att många människor tycka sig se Gustav IV Adolfs spöke sväva över landet.</w:t>
        <w:br/>
        <w:br/>
        <w:t>Men, frågar man, vad ändamål anser du då att försvarsåtgärderna skulle vara till, vad är det högern vill hava försvarsåtgärderna till, när den icke tycks det ringaste bry sig om landets självständighet? Svaret synes mig vara lätt att giva nu, när det patriotiska skalet har blivit avklätt den militaristiska agitationen under dessa tjugu månader. Det återstår då bara för försvaret att vara en drillapparat för att lära de talrika starka sönerna av underklassen att lyda, föda, kläda och tjäna den mera fåtaliga och arbetsskygga överklassen. Ur denna synpunkt, från denna höjd kan man då se ut över en hel del vyer i den militaristiska omgivningen, som förklara en hel del.</w:t>
        <w:br/>
        <w:br/>
        <w:t>Jag har här för ett år sedan väckt en motion om att officersposterna skulle rekryteras från alla samhällsklasser. Var och en som vore dugande till mera maktpåliggande befattningar i härens och flottans tjänst skulle nu som för århundraden sedan kunna användas, utan avseende på om hans fader var general eller torpare. I den kommitté, som var tillsatt för att totalt lägga om hela vårt försvarssystem, bevärdigade man icke denna motion med ett ord. Så föraktlig och galen ansågs den vara, och nu förstår jag, att den var föraktlig och galen. En bondes eller arbetares son skulle kanhända vara för självständig, för fosterländsk, han skulle kanhända reagera mot alltför mycket militaristiska förtryckartendenser och utsvävningar. En gulaschbarons son bör däremot vara idealisk, ty hans fader har ådagalagt, att han icke har något intresse för sunda samhällsförhållanden, att han icke tager hänsyn till andra än sig själv. Från denna synpunkt förklaras också det glödande hat som vi ofta talat om, vilket näres av officerskåren mot underofficerskåren, och dess tjugu-åriga strävan att äta ut och tillintetgöra denna senare kår. Jag har under årens lopp erhållit icke så få upplysningar rörande denna sak, och det har ganska ofta under de senare åren varit på håret, att jag bragt denna fråga på tal genom en interpellation här i kammaren. Det är saker som förefalla den oinvigde hart när otroliga.</w:t>
        <w:br/>
        <w:br/>
        <w:t>Från den synpunkt, som jag nyss nämnde, förstår man även det drag som är genomgående hos vårt militärbefäl sedan lång tid tillbaka, dess okunnighet i även rent militära frågor och dess blindhet inför den närmaste framtiden på hithörande områden. Jag skall icke trötta kammaren med några detaljer — jag skulle kunna draga fram avsevärt med sådana ur blott de sista hundra årens krigshistoria här i Sverige — jag skall bara påminna om en enda historia, som är betecknande för systemet.</w:t>
        <w:br/>
        <w:br/>
        <w:t>Det var en gång man i vår armé tvistade om, huruvida fältartilleriet skulle hava hästar för kanonerna eller om det ginge fortare, därest karlar droge dem. Det var stora debatter om saken. Till sist fick Cardell äntligen i nåder lov att bilda ett åkande batteri, som provkördes på Ladugårdsgärdet tillsammans med de andra. Var och en med sunt förnuft kan begripa, att hästarna fortare hunno upp och fingo batteriet i eldställning, men för militärmyndigheterna var det icke så. För dem var det tvärtom så, att</w:t>
        <w:br/>
        <w:br/>
        <w:t>det var karlarna som drogo fortare, varföre också inga åkande batterier infördes. I dag förefaller denna historia alldeles vanvettig, men det är också förhållandet med hela systemet, så att den är i stil med det hela.</w:t>
        <w:br/>
        <w:br/>
        <w:t>Jag skulle kunna, om jag ville öda tid på det, från de sista två åren draga fram exempel lika betecknande, men jag antager, att den kammarmedlem, som kommer att i viss mån, om också icke fullt, försvara utskottets ståndpunkt, skall framdraga exempel, av vilka man kan sluta till militärbefälets framsynthet. För resten kan man komma ihåg händelsen -för dagen, att en av högerns ledamöter här i kammaren, säkerligen inspirerad av »sakkunniga», har ett genom pressen i dag gående uttalande, som skall slutgiltigt omintetgöra undervattensbåtens betydelse i det nu pågående sjökriget.</w:t>
        <w:br/>
        <w:br/>
        <w:t>Herr talman! Militarismen har i vårt samhälle såsom uti hela världen visat sig vara en enbart förstörande och alls icke uppbyggande kraft. Den har ödelagt miljoner kronors värden och miljoner dagsverken på övningar, övningar, som sagts skola förebygga kriget och trygga freden. Vi hava sett militaristiska ligor under liknande förhållanden, som vi se dem arbeta under här hemma, framprovocera kriget och störta länderna i det, och var och en som öppnat sin mun mot dem har kallats för landsförrädare. Militarismen har visat, att den systematiskt söker genom drill utpressa äre-</w:t>
        <w:br/>
        <w:br/>
        <w:t>kärleken och frihetskänslan ur den manliga ungdomen för att skola</w:t>
        <w:br/>
        <w:br/>
        <w:t>en liten del av dem, nämligen överklassens söner, till deras blivande värv som samhällsförstörare, samhällsutsugare, folkförtryckare och vänja den andra delen, den större delen, folkets söner, vid de förolämpningar och det förtryck, som efter militarismens och högerns synpunkt skall vara deras framtida arvedel. Militarismen har förstört de klasser, som ännu för 40 å 30 år sedan kunde göra anspråk på epitetet ledande. De som företrädde intelligensen, det klara huvudet, det varma hjärtat, den raka ryggen mot byråkratiskt självsvåld, dessa klasser äro demoraliserade, ödelagda, förstörda.</w:t>
        <w:br/>
        <w:br/>
        <w:t>Herr talman! Jag anser den fara, i vilken vi bragts genom denna alla samhällsinstitutioner genomsyrande militaristiska anda så stor, att jag, för att påkalla folkets uppmärksamhet på den, nödgas tillgripa den för mig enda återstående åtgärden att yrka avslag på utskottets hemställan.</w:t>
      </w:r>
    </w:p>
    <w:p>
      <w:pPr>
        <w:pStyle w:val="Heading2"/>
      </w:pPr>
      <w:r>
        <w:t>2. Fredrik Vilhelm Thorsson (Socialdemokraterna, man)</w:t>
      </w:r>
    </w:p>
    <w:p>
      <w:r>
        <w:rPr>
          <w:b w:val="0"/>
        </w:rPr>
        <w:t>Herr talman, mina herrar! Jag skall icke ingå i någon längre diskussion med den siste talaren. Det finnes ju åtskilligt i vad han här framfört, som är av den beskaffenhet, att det kan kräva en ingående prövning. Som vanligt anförde den föregående talaren vissa synpunkter, som i sig innehålla många sanningar. Och om det hade varit under en annan situation än den nuvarande, skulle säkert hans anförande givit anledning till en längre och ingående debatt, vari var och en från sin utgångspunkt skulle försökt att pejla djupet av den fråga, som</w:t>
        <w:br/>
        <w:br/>
        <w:t>vi nu debattera. Vi socialdemokratiska ledamöter av statsutskottet hava uti en reservation, som vi fogat till det föreliggande betänkandet, angivit, varför vi icke anse det lämpligt att nu ingå i en granskning av försvarsspörsmålet i dess helhet. |</w:t>
        <w:br/>
        <w:br/>
        <w:t xml:space="preserve">Det är ju så, att runt om oss i världen pågår en kraftmätning av en sådan omfattning, att alla existerande stater mer eller mindre kännbart beröras därav, och vi tro ej att vi tjäna rättens och fredens sak genom att under en så krävande och vansklig situation, iscensätta en inre uppgörelse i försvarsfrågan eller såsom den siste talaren syntes vilja göra yrka avslag å försvarshuvudtitlarna såsom en protest emot vissa företeelser som avsett att indraga landet i det nu pågående kriget. Vi äro livligt övertygade om litet var — åtminstone tror jag, att jag därvidlag gör mig till tolk för det parti, vars taleman jag varit 1 utskottet — att varhelst några strävanden framträda 1 syfte att indraga vårt land i den kraftmätning som nu pågår, där har man att påräkna oss socialdemokrater som oförsonliga motståndare. I det stycket äro vi nog överens med den föregående talaren. Men jag kan för min del icke påtaga mig ansvaret att utan vidare yrka avslag på den föreliggande huvudtiteln, därför att möjligen vissa strömningar i landet, uppmuntrade av det förhållandet, att rätten litet varstädes ute i den stora världen fått </w:t>
      </w:r>
      <w:r>
        <w:rPr>
          <w:b/>
        </w:rPr>
        <w:t>maka³</w:t>
      </w:r>
      <w:r>
        <w:rPr>
          <w:b w:val="0"/>
        </w:rPr>
        <w:t xml:space="preserve"> åt sig och makten satt sig i högsätet, försökt att på ett eller annat sätt bidraga till att vi skola indragas i den pågående kraftmätningen. Jag får för min del säga, att nog blir det ett tillfälle, då vi måste ingå i prövning av den militära budget, som år 1914 lades till grund för vårt försvarsväsen. Den innehåller nog åtskilligt, som kan behöva förändras med ledning av de erfarenheter, som nu gjort sig gällande. Det fredsslut, som väl ändå en gång skall ingås, är ännu icke skönjbart, och så länge det icke är skönjbart, är det omöjligt för oss att ingå i ett sakligt bedömande av, hur fjärde huvudtitelns slutsumma sedermera skall se ut. För min del önskar jag av brinnande hjärta, att detta ohyggliga folkmördande, denna förstörelse av hundraårig kultur skall hava åstadkommit en sådan sakernas ordning, att vi efter detta krigs slut icke uteslutande skola få oss förelagda budgeter, som avse stegring på försvarets område, utan att människorna skola vakna till förstånd, till medvetande om att det finnes högre ting i livet än att förgöra varandra. Men, herr talman, situationen är dock sådan, att jag för min del icke kan följa den siste talaren i hans avslagsyrkande, utan jag måste för min del yrka bifall till den föreliggande punkten.</w:t>
        <w:br/>
        <w:br/>
        <w:t>Jag har sedan en sak att säga här vid behandlingen av denna punkt, en sak, som naturligtvis måste förefalla mycket liten jämförd med den stora fråga, som här är förd på tal. Jag måste dock säga ett par ord ifråga om själva punkten. Herr statsrådet har äskat, att en registratorsbefattning skall uppföras på departementets stat. Denna tjänstebefattning har hittills varit uppförd på generalstabens stat, men herr statsrådet anser, att då denne tjänstemans tid är helt upptagen i departementet, så bör befattningen också uppföras på departementets stat. I samband med detta kan jag icke uraktlåta</w:t>
        <w:br/>
        <w:br/>
        <w:t>som har en obehaglig inverkan på ett annat ämbetsverk. I lantförsvarsdepartementet äro för närvarande anställda, om icke två expeditionschefer, så nära på två sådana, men såväl personen som avlöningen till en av de här omnämnda befattningarna tages från arméförvaltningen. Jag finner det vara oriktigt, att man tager bort såväl lön som en ordinarie tjänsteman från ett ämbetsverk för att använda dem i ett annat, eller med andra ord att man flyttar hela dennes tjänstgöring från arméförvaltningen till departementet. Det kan icke gagna ärendenas behandling att avlägsna en ordinarie tjänsteman från det ämbetsverk, därifrån avlöningen skall utgå, och låta en så viktig befattning, som den han har att sköta, bestridas på förordnande den ena månaden efter den andra för att icke säga årsvis. Det är en oriktig anordning, och såvitt jag kan bedöma saken, står det fullständigt i strid mot de föreskrifter, som äro avsedda att tillämpas i hithörande fall. Jag har endast velat påtala detta förhållande. Det kan hända, att herr statsrådet, som nu begärt ordet, kan lämna någon upplysning, som förklarar förhållandet. Jag ber att få yrka bifall till den föreliggande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