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256</w:t>
      </w:r>
    </w:p>
    <w:p>
      <w:r>
        <w:rPr>
          <w:b/>
        </w:rPr>
        <w:t xml:space="preserve">Datum: </w:t>
      </w:r>
      <w:r>
        <w:t>1916-06-03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Hjalmar von Sydow (Första kammarens nationella parti, man)</w:t>
      </w:r>
    </w:p>
    <w:p>
      <w:r>
        <w:rPr>
          <w:b w:val="0"/>
        </w:rPr>
        <w:t xml:space="preserve">Herr talman! I 7 8 har utskottet satt in ett tillägg, som avser att, därest en arbetare omkommer genom olycksfall och efterlämnar fader eller </w:t>
      </w:r>
      <w:r>
        <w:rPr>
          <w:b/>
        </w:rPr>
        <w:t>moder²</w:t>
      </w:r>
      <w:r>
        <w:rPr>
          <w:b w:val="0"/>
        </w:rPr>
        <w:t>, som för sitt uppehälle äro hänvisade till hans arbetsförtjänst, dessa kunna få en livränta. En sådan bestämmelse återfinnes i en del utländska lagar, men det är att märka, att den är införd där, innan någon invaliditetseller ålderdomsförsäkring förut kommit till stånd. Har man en ålderdomsförsäkring, som vi ha, finnes det ingen anledning att i lagen införa en sådan bestämmelse, ty då få föräldrarna själva en pension från den försäkringen; till sitt underhåll. På grund härav ber jag att få yrka avslag på utskottets hemställan och bifall till herr Lindmans m. fl reservation.</w:t>
      </w:r>
    </w:p>
    <w:p>
      <w:pPr>
        <w:pStyle w:val="Heading2"/>
      </w:pPr>
      <w:r>
        <w:t>2. Halfred von Koch (–, man)</w:t>
      </w:r>
    </w:p>
    <w:p>
      <w:r>
        <w:rPr>
          <w:b w:val="0"/>
        </w:rPr>
        <w:t xml:space="preserve">Herr talman, mina herrar! Jag ber att i denna punkt få vädja till kammarens goda hjärta 1 förhoppning, att denna vädjan icke må förklinga ohörd., Förhållandet är, att det vid utskottsbehandlingen framkommit en del yrkanden på att höja ersättningarna, men utskottet har måst avböja alla sådana framställningar. Men så framställdes från arbetarhåll ett förslag, att man skulle taga hänsyn till detta ganska behjärtansvärda syfte genom den bestämmelse, som nu är införd i 7 $, nämligen att om en arbetare omkommer, som försörjt far eller </w:t>
      </w:r>
      <w:r>
        <w:rPr>
          <w:b/>
        </w:rPr>
        <w:t>mor²</w:t>
      </w:r>
      <w:r>
        <w:rPr>
          <w:b w:val="0"/>
        </w:rPr>
        <w:t xml:space="preserve"> och dessa icke hava några andra försörjningsskyldiga att hålla sig till, understöd skulle kunna lämnas till dessa fvarlevände personer, som för sitt uppehälle varit beroende av hans arbetsförtjänst. Jag är fullt medveten om att den anmärkning, som herr von Sydow gjorde, att allmänna pensionsförsäkringen skulle i någon mån taga hand om dessa personer, är i någon mån berättigad, men dels utgår mensionen endast vid hög invaliditet, dels torde pensionens belopp vara vida lägre, än som skulle vara fallet enligt denna lag. Det är emellertid en ganska human tanke, som ligger till grund för detta förslag, och jag ber ytterligare få omnämna, att liknande</w:t>
        <w:br/>
        <w:br/>
        <w:t>bestämmelser finnas införda i förordningen den 18 juni 1909 om</w:t>
        <w:br/>
        <w:br/>
        <w:t>tjänstgöring, Herr talman! förslag.</w:t>
        <w:br/>
        <w:br/>
        <w:t>ledning av kroppsskada, ådragen under militärsamt i flera utlänska lagar. Jag ber att få yrka bifall till utskottets</w:t>
        <w:br/>
        <w:br/>
        <w:t>förevarande paragraf yrkats, dels att denenlighet med utskottets förslag, dels ock,</w:t>
        <w:br/>
        <w:br/>
        <w:t>Den årliga arbetsförtjänst, som i 6 och 7 88 omförmäles, utgör hela den avlöning — vinstandelar, där sådana förekommit, inräknade — som den skadade under ett år, räknat tillbaka från olycksfallet, åtnjutit av arbetsgivaren.</w:t>
        <w:br/>
        <w:br/>
        <w:t>Har under längre eller kortare tid av året den skadade icke av arbetsgivaren använts till arbete, eller kan avlöningen för någon tid av året på grund av bristfällig utredning eller av annan gtlsdnine ej bestämmas, beräknas avlöningen för den tid till belopp, som med hänsyn till avlöningen i arbetsorten under motsvarande tid för en arbetare av samma arbetsförmåga och med liknande arbete som den skadade eller eljest med hänsyn till omständigheterna prövas skäligt. Lag samma vare, där den skadade under någon tid av året,</w:t>
        <w:br/>
        <w:br/>
        <w:t>Den årliga arbetsförtjänst, som i 6 och 7 $$ omförmäles, utgör hela den avlöning — vinstandelar, där sådana förekommit, inräknade — som den skadade under ett år, räknat tillbaka från olycksfallet, åtnjutit av arbetsgivaren i den verksamhet, i vilken olycksfallet inträffat. Har under längre eller kortare tid av året den skadade icke av arbetsgivaren använts till arbete, eller kan avlöningen för någon tid av året på grund av bristfällig utredning eller av annan anledning ej bestämmas, beräknas avlöningen för den tid till belopp, som med hänsyn. till avlöningen i arbetsorten under motsvarande tid för en arbetare av samma arbetsförmåga och med liknande arbete som den skadade eller eljest med hänsyn till omständigheterna prövas skäligt. Lag samma vare,</w:t>
        <w:br/>
        <w:br/>
        <w:t>på grund av tillfälligt övertidsarbete eller annat särskilt förhål-</w:t>
        <w:br/>
        <w:br/>
        <w:t>avlöning, eller, på grund av sjukdom eller annan oförvållad anledning, åtnjutit väsentligt lägre avlöning än sådan arbetare, så ock där den skadade för yrkesutbildning eller endast tillfälligtvis använts till det arbete, i vilket olycksfallet inträffat, eller den skadade är minderårig.</w:t>
        <w:br/>
        <w:br/>
        <w:t>Utgöres avlöning helt eller delvis av naturaförmåner, uppskattas dessa förmåners värde efter de i arbetsorten gällande priser eller efter andra grunder, som finnas tillämpliga.</w:t>
        <w:br/>
        <w:br/>
        <w:t>Överstiger den årliga arbetsförtjänsten ettusen åttahundra kronor, tages det överskjutande beloppet icke i beräkning. Understiger den årliga arbetsförtjänsten trehundra kronor, skall den beräknas till detta belopp.</w:t>
        <w:br/>
        <w:br/>
        <w:t>förhållande, åtnjutit väsentligt högre avlöning, eller, på grund av sjukdom eller annan oförvållad anledning, åtnjutit väsentligt lägre avlöning än sådan arbetare, eller där vid tiden för olycksfallet hans arbetsförmåga redan var nedsatt på grund av tidigare olycksfall i arbete, så ock där den skadade för yrkesutbildning eller endast tillfälligtvis använts till det arbete, i vilket olycksfallet inträffat, eller den skadade är minderårig.</w:t>
        <w:br/>
        <w:br/>
        <w:t>Utgöres avlöning helt eller delvis av naturaförmåner, uppskattas dessa förmåners värde efter de i arbetsorten gällande priser eller efter andra grunder, som finnas tillämpliga.</w:t>
        <w:br/>
        <w:br/>
        <w:t>Överstiger den årliga arbetsförtjänsten ettusen åttahundra kronor, tages det överskjutande beloppet icke i beräkning. Understiger den årliga arbetsförtjänsten fyrahundrafemtio kronor, skall den beräknas till detta belopp.</w:t>
        <w:br/>
        <w:br/>
        <w:t>»Den årliga arbetsförtjänst, som eller den skadade fyllt sextio år eller är minderårig.</w:t>
        <w:br/>
        <w:br/>
        <w:t>Överstiger den årliga arbetsförtjänsten ellusenfemhundra kronor, tages det överskjutande beloppet icke i beräkning. Understiger den årliga arbetsförtjänsten trehundra kronor, skall den beräknas till detta belopp.</w:t>
      </w:r>
    </w:p>
    <w:p>
      <w:pPr>
        <w:pStyle w:val="Heading2"/>
      </w:pPr>
      <w:r>
        <w:t>3. Hjalmar von Sydow (Första kammarens nationella parti, man)</w:t>
      </w:r>
    </w:p>
    <w:p>
      <w:r>
        <w:rPr>
          <w:b w:val="0"/>
        </w:rPr>
        <w:t>Herr greve och talman! Det har flera</w:t>
        <w:br/>
        <w:br/>
        <w:t xml:space="preserve">gånger, dels av herr von Koch, dels av herr Mannheimer riktats den anmärkning mot mig, att ehuru jag sagt, att man borde förbättra kommitténs eller utskottets förslag, mina yrkanden enligt dessa herrars uppfattning i stället städse innebära en försämring av förslaget. Ja, det beror helt och hållet på, hur man ser det. Ser man förslaget uteslutande från arbetarnas sida, kan anmärkningen i vissa fall vara befogad, men jag vill icke se det vare sig från arbetarnas eller arbetsgivarnas synpunkt, utan ur samhällets synpunkt. Det är orätt att giva för litet, men det är lika orätt ur samhällssynpunkt att giva för mycket. På det sättet uppmuntrar man arbetarna att utan något berättigande mottaga underhåll på samhällets bekostnad eller genom dess försorg. Ur sådana synpunkter ha mina medreservanter och jag vid denna paragraf yrkat en del ändringar, nämligen att den beräknade årliga arbetsförtjänstens maximum skall sänkas från 1,800 kronor till 1,500 kronor, och likaledes att den beräknade procenten för sjukpenningen skall sättas ned till vad den enligt kommitténs förslag rätteligen borde vara, nämligen 66 2/3 9/0 från omkring 80 90. Kammittén säger på flera ställen, att sjukpenningen bör vara 66 2/3 9/0 av den verkliga dagsförtjänsten, men genom sin beräkning kommer kommittén 1 själva verket upp till cirka 80 90. Utskottet har vidare höjt minimum av den årliga arbetsförtjänsten från 300 kronor till 450 kronor: Denna ändring finner jag icke befogad. Detta minimum är avsett för personer, som icke ha sitt fulla uppehälle av sin arbetsförtjänst, utan arbeta för biförtjänst, såsom rätt ofta händer med </w:t>
      </w:r>
      <w:r>
        <w:rPr>
          <w:b/>
        </w:rPr>
        <w:t>hustrur²</w:t>
      </w:r>
      <w:r>
        <w:rPr>
          <w:b w:val="0"/>
        </w:rPr>
        <w:t xml:space="preserve"> och vissa andra </w:t>
      </w:r>
      <w:r>
        <w:rPr>
          <w:b/>
        </w:rPr>
        <w:t>kvinnliga¹</w:t>
      </w:r>
      <w:r>
        <w:rPr>
          <w:b w:val="0"/>
        </w:rPr>
        <w:t xml:space="preserve"> arbetare, och då är det oriktigt att beräkna deras arbetsförtjänst till ett minimum av 450 kronor.</w:t>
        <w:br/>
        <w:br/>
        <w:t>Herr greve och talman! Jag ber att få yrka avslag på utskottets förslag och bifall till herr Lindmans m. fl.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256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