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266</w:t>
      </w:r>
    </w:p>
    <w:p>
      <w:r>
        <w:rPr>
          <w:b/>
        </w:rPr>
        <w:t xml:space="preserve">Datum: </w:t>
      </w:r>
      <w:r>
        <w:t>1917-04-25</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Alfred Stärner (Liberala samlingspartiet, man)</w:t>
      </w:r>
    </w:p>
    <w:p>
      <w:r>
        <w:rPr>
          <w:b w:val="0"/>
        </w:rPr>
        <w:t>Herr talman, mina herrar! Då jag som medlem i lagutskottet och reservant nu för första gången tar till orda i detta ärende, så finner jag mig i anledning av vad som förekommit vid den föregående behandlingen vilja giva det erkännande, som också först kommit till uttryck att detta lagförslag ligger på ett högt plan. Så vitt en lekman kan bedöma utgör det ett stort framsteg. Det lämnar erkännande åt rättsoch humanitetsprinciper på området, vilka förut varit mindre beaktade. Det är tyvärr så, att de oäkta barnen överallt haft en förbisedd och dålig ställning. Detta har kanske ytterst varit uttryck för en kyrklig uppfattning om ärelösheten i förbindelsen mellan de oäkta barnens föräldrar. Därigenom har blivit följden, kan man säga, att »fädernas missgärningar» i upprörande grad gått ut över barnen. Naturligtvis ha dessa strävanden allestädes varit uttryck för en önskan att gynna äktenskapet och giva helgd däråt. Men det har faktiskt gått så, att samhällets dom, kyrkans straff och moralens harm över de otillåtna förbindelserna drabbat dessa förbindelsers oskyldiga frukter.</w:t>
        <w:br/>
        <w:br/>
        <w:t>Häremot måste, när förslag till en ny lagstiftning på området föreligger, göras ett kraftigt uppbrott. Och endast i den mån detta sker tillräckligt kraftigt och klart kan den allmännaste tillfredsställelsen vinnas. Det är ock därför, som — med erkännande åt lagstiftningens framsteg — många önskat åstadkomma förbättringar och förändringar i avsevärdare grad än vad lagförslaget innebär.</w:t>
        <w:br/>
        <w:br/>
        <w:t>Betraktar man den föreliggande lagen i och för sig, så torde man få erkänna, att den i jämförelse med förutvarande rättsåskådning och lagbestämmelser utgör ett mycket stort steg framåt. Man skulle väl kanske till och med våga säga, att knappast någon av de länders lagstiftningar, vilka vi åberopat som föredöme, tagit lika stora steg på en gång som denna lagstiftning innebär. Med lagstiftningens utveckling i en humanare anda, med strävandena till rätt för barnen, ansvar från samhällets och föräldrarnas sida mot barnen, skall väl även på detta område till sist en bättre allmän mening tränga igenom och göra sig gällande.</w:t>
        <w:br/>
        <w:br/>
        <w:t>Sverige är i regel icke ett föregångsland på några lagstiftningsområden, tyvärr, och man kan väl säga, att just i fölid härav måste vi, när vi nu gripa oss an med denna lagstiftning, också vara beredda på att taga något större steg än vad som elies kunnat ifrågasättas. Den nyaste lagstiftningen i t. ex. Norge hade en föregångslagstift-</w:t>
        <w:br/>
        <w:br/>
        <w:t>ning, delvis av samma innebörd som vår nya lag, vilken helt natur- Lagförslag om ligt var ägnad att i hög grad förbereda folkuppfattningen på vad TR som sedan i den nyaste lagstiftningen kunde genomföras. Vi ha så- (Forts ) ledes icke haft samma förmån som Norge och måste därför vara | beredda på att kanske möta ett större motstånd, när det nu gäller att</w:t>
        <w:br/>
        <w:br/>
        <w:t>taga ett så stort steg som möjligt, för att ej bli allt för långt efter föregångsländerna.</w:t>
        <w:br/>
        <w:br/>
        <w:t>Jag upprepar, att denna lag måste erkännas vara ett steg framåt, som är ett verkligt framsteg, men det är klart, att vissa inkonsekvenser, vissa halvheter och orättvisor, som vi hade hoppats skulle kunna förbigås, vidlåda lagförslaget. Utom 1 fråga om det ekonomiska understödet och det rättsliga ordnandet av försörjningsplikten, där man kan säga, att lagen. tar ett helt och stort steg framåt, har den stannat vid halvheter på de områden, som tidigare här berörts, nämligen beträffande arvsrätten och särskilt också den därmed sammanhängande namnrätten. Den $, som vi nu behandla, 1 $, är ju konstituerande för namnrätten och sammanhänger, som sagt, med den förut behandlade 12 $. Och man anser, att de äro så samhöriga, dessa båda $$, att man ej kan ifrågasätta att skilja på rättigheten att taga arv efter fader och rättigheten att taga namn efter fader. Men för min del menar jag, att själva namnrätten ligger på ett mera moraliskt plan. Den framhäver den moraliska skyldigheten för fadern mot barnet. Jag har därför förenat mig i den reservation, som påyrkat, att denna $ skulle ändras så, att fadersnamnet skulle bli regel och modersnamnet i stället undantag.</w:t>
        <w:br/>
        <w:br/>
        <w:t>Jag har gjort detta alldeles särskilt därför, att under den utveckling, som på detta område, trots bristande lag, försiggått, har det alltmer och mer i det allmänna rättsmedvetandet ingått, att fadersansvaret kunde och borde tagas även för barn utom äktenskapet, och sådant ansvar har tagits i en hel mängd fall. Man har genom praxis kommit därhän, att den, som frivilligt erkänt sitt fadersskap, kunnat genom anteckning i kyrkoböckerna officiellt och rättsligt få skrivas för barnet. Den som blivit ådömd försörjningsplikt, har också i detta hänseende blivit angiven som barnets fader.</w:t>
        <w:br/>
        <w:br/>
        <w:t xml:space="preserve">Den egentliga frågan om namnförhållandet sammanhänger med den gamla lagstiftningen från 1778 om </w:t>
      </w:r>
      <w:r>
        <w:rPr>
          <w:b/>
        </w:rPr>
        <w:t>kvinnans¹</w:t>
      </w:r>
      <w:r>
        <w:rPr>
          <w:b w:val="0"/>
        </w:rPr>
        <w:t xml:space="preserve"> rätt att hemlighålla sitt namn. Motivet för denna lag var, att man därigenom skulle förekomma barnamord, då detta ansågs vara en följd av </w:t>
      </w:r>
      <w:r>
        <w:rPr>
          <w:b/>
        </w:rPr>
        <w:t>mödrarnas²</w:t>
      </w:r>
      <w:r>
        <w:rPr>
          <w:b w:val="0"/>
        </w:rPr>
        <w:t xml:space="preserve"> den tiden ännu svårare ställning och ännu mera skamfulla läge i sam hället än vad en senare tid uppvisat. Motivet var sålunda enkelt. Det var att förekomma våld mot barnet. Men mot denna lagstiftning restes ganska snart en kraftig opinion och den fullföljdes sedan årtionde efter årtionde. Denna opinion vilade förnämligast på den grundsatsen, att lagstiftningen ansågs motverka sedligheten. Denna grundsats blev vägledande och opinionsbildande för ett motstånd mot förstnämnda bestämmelse, och vrkanden om upphävande därav framkommo undan för undan, vilket i den föregående debatten blivit pånekat och som iag därför ej närmare skall gå in på. Under 1800- talet förelågo icke mindre än åtta gånger förslag, särskilt från</w:t>
        <w:br/>
        <w:br/>
        <w:t>Maj:t och dåvarande riksens ständer motsatte sig alltid förslaget — alltjämt med samma motiv, att lagstiftningen vore avsedd att utgöra ett hinder mot barnamorden; och den ansågs faktiskt hava nedbringat antalet barnamord.</w:t>
        <w:br/>
        <w:br/>
        <w:t xml:space="preserve">Vid 1898 års riksdag framfördes ett modererat förslag med yrkande om, att </w:t>
      </w:r>
      <w:r>
        <w:rPr>
          <w:b/>
        </w:rPr>
        <w:t>kvinnans¹</w:t>
      </w:r>
      <w:r>
        <w:rPr>
          <w:b w:val="0"/>
        </w:rPr>
        <w:t xml:space="preserve"> namn visserligen skulle skyddas, men att </w:t>
      </w:r>
      <w:r>
        <w:rPr>
          <w:b/>
        </w:rPr>
        <w:t>kvinnans¹</w:t>
      </w:r>
      <w:r>
        <w:rPr>
          <w:b w:val="0"/>
        </w:rPr>
        <w:t xml:space="preserve"> moderskap likvisst skulle antecknas för att för vissa ändamål vara till hands. Man ville för barnets skull och för samhällets skull konstituera åtminstone en </w:t>
      </w:r>
      <w:r>
        <w:rPr>
          <w:b/>
        </w:rPr>
        <w:t>mor²</w:t>
      </w:r>
      <w:r>
        <w:rPr>
          <w:b w:val="0"/>
        </w:rPr>
        <w:t xml:space="preserve"> åt ett oäkta barn. Och 1906 avläts en skrivelse i syfte, som gick ungefär efter samma grundlinje, och som, kan man säga, också blev grund för den lagstiftning, som för närvarande föreligger. Genom dessa yrkanden har barnet förts närmare modern. Man har utgått från den tanken, som här förut framhävts, att man vet, vilken som är </w:t>
      </w:r>
      <w:r>
        <w:rPr>
          <w:b/>
        </w:rPr>
        <w:t>mor²</w:t>
      </w:r>
      <w:r>
        <w:rPr>
          <w:b w:val="0"/>
        </w:rPr>
        <w:t xml:space="preserve">; men vem som är far, är man ej lika säker på. På samma sätt har lagstiftningen också utvecklat sig i andra länder. Men där har man tid efter annan kommit fram till olika system. I några länder har man genomfört rätten för barnet att bära namn efter föräldrar, även fader, som erkänt barnet. Man har också i samma riktning framfört yrkande om, att arvsrätten borde grundas på erkännande av faderskapet, sålunda en arvsrätt även efter fäder. Och man skall väl kunna säga, att därmed invändningen om den svåra faderskapsbevisningen komme att förfalla, den mest betydande invändningen mot arvsrätten liksom även mot namnrätten. Detta skulle då innebära namn efter erkännande och arv efter åtagande av fader lika väl som efter </w:t>
      </w:r>
      <w:r>
        <w:rPr>
          <w:b/>
        </w:rPr>
        <w:t>moder²</w:t>
      </w:r>
      <w:r>
        <w:rPr>
          <w:b w:val="0"/>
        </w:rPr>
        <w:t>.</w:t>
        <w:br/>
        <w:br/>
        <w:t>Jag vill tillägga, att en sådan lagstiftning ligger närmare den nuvarande rättsuppfattningen, såsom den framgått ur praxis, varom förut talats. I stället för att bryta mot denna praxis genom ati uteslutande länka barnet vid modern, borde, menar jag. lagstiftninzen så ändras, att fadersnamnet skulle vara det främsta, det normala, för även det oäkta barnet. Jag skall emellertid icke inlåta mig på några djupa teoretiska utläggningar om denna rättsåskådning. Men jag vill påpeka, att då i familjerättsligt avseende fadern representerar det rättsstarkaste elementet i familien, då mannen i regel måste på grund av sin ställnine i samhället, sin rätt, sin arbetskraft anses äga de största förutsättningarne för at! vara ett barns stöd i livet, i samhället, så borde det ligga i samhällets eget intresse, att fadern främst skulle fullgöra alla skyldigheter mot sitt barn.</w:t>
        <w:br/>
        <w:br/>
        <w:t>Vid tidigare tillfällen då denna fråga varit å bane, har väckts förslag om, att fader icke skulle få vara okänd. Samtidigt som man yrkat upphävande av bestämmelsen om, att modern skulle hava rätt att vara okänd, har man ansett. att icke heller fadern icke skulle få vara det. Men motsättningarne ha varit så starka, att lagstiftningen ej kommit fram på den vägen. Vi ha sålunda haft en efterbliven lagstiftning tills vi nu äro sysselsatta med att genomföra denna nya.</w:t>
        <w:br/>
        <w:br/>
        <w:t>Trots att de oäkta barnen i sedligt nit och av omtanke för äk- Lag örslag om tenskapet hållits i en förbisedd ställning, i tanke att man därige- = juenskap. nom skulle väcka ansvarskänsla hos dem, som satte de oäkta barnen (Forts.) i världen, har likvisst, enligt vad statistiken ådagalagt, de oäkta barnens antal ökats. Det skydd, som man enligt hittills gällande uppfattning velat skänka åt äktenskapet genom gällande bestämmelser, har sålunda i praktiken ej lett till äsyftat resultat, enär äktenskapsfrekvensen faktiskt minskats. Snarare skulle man kunna säga, att det har skapats slapphet och svagare föräldraansvar än vad förhållandet skulle vara, därest lagstiftningen vore annorlunda. Nu mena vi, att när en ny lagstiftning är ifrågasatt, så bör man också i detta hänseende gå på en motsatt väg. Man bör göra det både för samhällets och barnets skull. Ett lagfäst fadersnamn med därav följande rätt för barnet och skyldighet för fadern skulle helt säkert vara det bästa medlet för äktenskapets helgd på samma gång som det skulle lösa den svåra frågan om, huru vi skola förfara med de i livet satta »oäkta barnen», barnen utom äktenskapet.</w:t>
        <w:br/>
        <w:br/>
        <w:t>På grund av dessa enkla synpunkter på denna fråga och med</w:t>
        <w:br/>
        <w:br/>
        <w:t>«stort erkännande för övrigt åt hela lagstiftningen, vill jag för min del, herr talman, yrka bifall till den reservation, som föreligger. Jag hoppas, att under den fortsatta behandling, som blir nödvändig på grund av kamrarnas olika beslut i skilda frågor, vilka dock ej äro så många och så djupa, som av reservationernas omfångsrikhet kan vid ett ytligt betraktande antagas, vi också skola komma till en slutlig enighet — ett samförstånd för att kunna genom en ny och förbättrad lagstiftning övervinna det onda, om vilket vi alla ha en vaknande ansvarskänsla, så att ej längre något sådant måtte få existera som de utom äktenskapet födda barnens sorgliga rättstillstånd. Jag yrkar, som sagt, bifall till reservationen.</w:t>
      </w:r>
    </w:p>
    <w:p>
      <w:pPr>
        <w:pStyle w:val="Heading2"/>
      </w:pPr>
      <w:r>
        <w:t>2. Nils Alexanderson (Liberala samlingspartiet, man)</w:t>
      </w:r>
    </w:p>
    <w:p>
      <w:r>
        <w:rPr>
          <w:b w:val="0"/>
        </w:rPr>
        <w:t>Herr talman! Vid denna $ har ju avgivits reservation i två skilda riktningar, dels den, för vilken herr Stärner nu har varit taleman, och som skulle innebära, att modern ägde frihet att välja mellan att låta barnet få faderns namn eller själv lämna det sitt, och dels en reservation rörande ett specialfall, avgiven av herr Gezelius m. fl. ledamöter i utskottet från första kammaren, till vilken senare reservation jag skall be att strax få återkomma.</w:t>
        <w:br/>
        <w:br/>
        <w:t>Vad först beträffar den av herr Stärner och hans medreservanter avgivna reservationen så synes det mig, att den är ett naturligt led uti hela deras stora reservation, vari som ett huvudmoment ingår arvsrätt för barnet. Den fader, vars namn enligt reservationen barnet skulle ärva, det är ju en fader, vars faderskap har blivit konstaterat på det mera säkra sätt, som reservationen avser, alltså med möjlighet för en för faderskap tilltalad att styrka sannolikheten av, att modern på samma tid haft umgänge med en annan man, och med verkan i så fall, att han endast blir bidragsskyldig. men ej faderskapspliktig. Då däremot första kammaren bestämt sig</w:t>
        <w:br/>
        <w:br/>
        <w:t>turligtvis för styrkande av dets. k. faderskap, varom i lagberedningens och utskottets förslag är fråga, endast ställes de nuvarande låga villkoren, så ställer sig namnfrågan givetvis helt annorlunda. En sak är att utdöma bidragsplikt av en person därför, att han haft umgänge med modern på sådan tid, att han kan vara far till barnet, och detta även om bevisningen rörande detta umgänge är synnerligen svag, en annan är det att tillika låta detta ha verkan i fråga om namnrätten.</w:t>
        <w:br/>
        <w:br/>
        <w:t>Men alldeles oberoende härav kan man ju likväl, såsom lagberedningen också anmärkt, ha anledning att ställa sig synnerligen tveksam, om det vore så lyckligt för barnet självt med en anordning liknande den, som reservanterna avsett. Det är modern och barnet, som leva tillsammans, och det är ju också helt naturligt, att det kommer att väcka mindre obehaglig uppmärksamhet för dem själva, om de hava gemensamt namn, än om det förhållande, vari de stå till varandra, är märkbart, genom att de bära skilda namn. Herr Hellberg har visst i dag på förmiddagen sökt utveckla en annan uppfattning, men jag förmår icke följa honom, utan jag har ansett, att i flertalet fall kommer utskottets förslag att ställa sig: såsom den mest humana och just för barnet bästa anordningen.</w:t>
        <w:br/>
        <w:br/>
        <w:t xml:space="preserve">Emellertid, i reservationen har man kunnat peka på, att modern enligt reservanternas förslag är i tillfälle att giva barnet, om </w:t>
      </w:r>
      <w:r>
        <w:rPr>
          <w:b/>
        </w:rPr>
        <w:t>hon²</w:t>
      </w:r>
      <w:r>
        <w:rPr>
          <w:b w:val="0"/>
        </w:rPr>
        <w:t xml:space="preserve"> önskar, sitt eget namn. Men just på denna punkt tror jag, att reservanternas lagförslag är behäftat med en nog så allvarlig brist. Enligt utskottets förslag får barnet från hörjan ett namn, nämligen modersnamnet. Sedermera kan det ändras och barnet i stället få fadersnamnet efter samtycke av sin förmyndare eller eget samtycke, om det fyllt aderton år. Enligt reservanternas förslag står det i vida fältet, huru länge barnet över huvud taget skall vara utan något namn. Modern kan vänta att bestämma sig, huruvida </w:t>
      </w:r>
      <w:r>
        <w:rPr>
          <w:b/>
        </w:rPr>
        <w:t>hon²</w:t>
      </w:r>
      <w:r>
        <w:rPr>
          <w:b w:val="0"/>
        </w:rPr>
        <w:t xml:space="preserve"> vill giva barnet sitt namn eller det skall bära faderns, och nog kan det fallet möjligen inträffa, att modern i syfte att tillkämpa sig vissa fördelar, men med uppoffring av barnets intresse dröjer med att träffa ett val. Så som reservanterna utfört sin tanke, tror jag den således icke vara lycklig.</w:t>
        <w:br/>
        <w:br/>
        <w:t>Men som sagt, jag kan icke heller finna annat, än att deras förslag är ett led i deras allmänna principer framför allt i avseende på arvsfrågan. Sålunda är den naturliga konsekvensen, att första kammaren tager utskottets förslag.</w:t>
        <w:br/>
        <w:br/>
        <w:t xml:space="preserve">Av herr Gezelius m. fl. har föreslagits ett tillägg till paragrafen i motsatt riktning. Det skulle innebära, att en </w:t>
      </w:r>
      <w:r>
        <w:rPr>
          <w:b/>
        </w:rPr>
        <w:t>änka²</w:t>
      </w:r>
      <w:r>
        <w:rPr>
          <w:b w:val="0"/>
        </w:rPr>
        <w:t xml:space="preserve">, som efter upplösningen av äktenskapet genom mannens död, fått barn med en annan, icke skulle få giva barnet det av </w:t>
      </w:r>
      <w:r>
        <w:rPr>
          <w:b/>
        </w:rPr>
        <w:t>henne²</w:t>
      </w:r>
      <w:r>
        <w:rPr>
          <w:b w:val="0"/>
        </w:rPr>
        <w:t xml:space="preserve"> genom äktenskapet förvärvade namnet, utan barnet skulle få </w:t>
      </w:r>
      <w:r>
        <w:rPr>
          <w:b/>
        </w:rPr>
        <w:t>hennes²</w:t>
      </w:r>
      <w:r>
        <w:rPr>
          <w:b w:val="0"/>
        </w:rPr>
        <w:t xml:space="preserve"> </w:t>
      </w:r>
      <w:r>
        <w:rPr>
          <w:b/>
        </w:rPr>
        <w:t>flicknamn²</w:t>
      </w:r>
      <w:r>
        <w:rPr>
          <w:b w:val="0"/>
        </w:rPr>
        <w:t xml:space="preserve">. Lagberedningen har mot denna anordning anfört, att man skulle vinna det humanitära syftet just genom att modern och barnet skulle bära gemensamt namn. Den har likvisst ansett sig böra taga hänsyn till en annan parts intresse i det fall, där barnet avlats under </w:t>
      </w:r>
      <w:r>
        <w:rPr>
          <w:b/>
        </w:rPr>
        <w:t>moderns²</w:t>
      </w:r>
      <w:r>
        <w:rPr>
          <w:b w:val="0"/>
        </w:rPr>
        <w:br/>
        <w:br/>
        <w:t xml:space="preserve">åktenskap, således genom äktenskapsbrott, eller där det är fråga om Lagförslag om en frånskild </w:t>
      </w:r>
      <w:r>
        <w:rPr>
          <w:b/>
        </w:rPr>
        <w:t>hustru²</w:t>
      </w:r>
      <w:r>
        <w:rPr>
          <w:b w:val="0"/>
        </w:rPr>
        <w:t xml:space="preserve">, som efter skilsmässan inlåtit sig i könsförbin- Rs delse med en annan man. Men att man, som reservanterna vilja, Mörk) skulle på samma sätt behandla det fall, att </w:t>
      </w:r>
      <w:r>
        <w:rPr>
          <w:b/>
        </w:rPr>
        <w:t>hon²</w:t>
      </w:r>
      <w:r>
        <w:rPr>
          <w:b w:val="0"/>
        </w:rPr>
        <w:t xml:space="preserve"> är </w:t>
      </w:r>
      <w:r>
        <w:rPr>
          <w:b/>
        </w:rPr>
        <w:t>änka²</w:t>
      </w:r>
      <w:r>
        <w:rPr>
          <w:b w:val="0"/>
        </w:rPr>
        <w:t xml:space="preserve">, det blir ” väl något helt annat. När </w:t>
      </w:r>
      <w:r>
        <w:rPr>
          <w:b/>
        </w:rPr>
        <w:t>hon²</w:t>
      </w:r>
      <w:r>
        <w:rPr>
          <w:b w:val="0"/>
        </w:rPr>
        <w:t xml:space="preserve"> är frånskild, är </w:t>
      </w:r>
      <w:r>
        <w:rPr>
          <w:b/>
        </w:rPr>
        <w:t>hon²</w:t>
      </w:r>
      <w:r>
        <w:rPr>
          <w:b w:val="0"/>
        </w:rPr>
        <w:t xml:space="preserve"> oförhindrad att återtaga sitt </w:t>
      </w:r>
      <w:r>
        <w:rPr>
          <w:b/>
        </w:rPr>
        <w:t>flicknamn²</w:t>
      </w:r>
      <w:r>
        <w:rPr>
          <w:b w:val="0"/>
        </w:rPr>
        <w:t xml:space="preserve">. Man avser nu visserligen att ändra lagen så, att </w:t>
      </w:r>
      <w:r>
        <w:rPr>
          <w:b/>
        </w:rPr>
        <w:t>hon²</w:t>
      </w:r>
      <w:r>
        <w:rPr>
          <w:b w:val="0"/>
        </w:rPr>
        <w:t xml:space="preserve"> även skulle få göra detta såsom </w:t>
      </w:r>
      <w:r>
        <w:rPr>
          <w:b/>
        </w:rPr>
        <w:t>änka²</w:t>
      </w:r>
      <w:r>
        <w:rPr>
          <w:b w:val="0"/>
        </w:rPr>
        <w:t xml:space="preserve">, om </w:t>
      </w:r>
      <w:r>
        <w:rPr>
          <w:b/>
        </w:rPr>
        <w:t>hon²</w:t>
      </w:r>
      <w:r>
        <w:rPr>
          <w:b w:val="0"/>
        </w:rPr>
        <w:t xml:space="preserve"> sedermera får barn utom äktenskap. Men det är ju klart, att det är ett hårt val man ställer </w:t>
      </w:r>
      <w:r>
        <w:rPr>
          <w:b/>
        </w:rPr>
        <w:t>henne²</w:t>
      </w:r>
      <w:r>
        <w:rPr>
          <w:b w:val="0"/>
        </w:rPr>
        <w:t xml:space="preserve"> inför, ett val, som </w:t>
      </w:r>
      <w:r>
        <w:rPr>
          <w:b/>
        </w:rPr>
        <w:t>hon²</w:t>
      </w:r>
      <w:r>
        <w:rPr>
          <w:b w:val="0"/>
        </w:rPr>
        <w:t xml:space="preserve"> dessutom knappast kan ha, därest </w:t>
      </w:r>
      <w:r>
        <w:rPr>
          <w:b/>
        </w:rPr>
        <w:t>hon²</w:t>
      </w:r>
      <w:r>
        <w:rPr>
          <w:b w:val="0"/>
        </w:rPr>
        <w:t xml:space="preserve"> redan har barn i äktenskapet med den avlidne mannen och vilka således bära den avlidne mannens namn. Det pekas då ytterligare på den möjligheten, att </w:t>
      </w:r>
      <w:r>
        <w:rPr>
          <w:b/>
        </w:rPr>
        <w:t>hon²</w:t>
      </w:r>
      <w:r>
        <w:rPr>
          <w:b w:val="0"/>
        </w:rPr>
        <w:t xml:space="preserve"> i detta fall skulle få tillstånd att förvärva familjenamnet för den sistkomne. Men att låta detta vara beroende på en särskild nåd i det enskilda fallet synes mig icke vara lyckligt, och jag vill erinra om, att såväl lagberedningen som lagrådets majoritet och Kungl. Maj:t ha varit ense om, att man borde låta modern och barnet följas åt i detta fall. Herr talman! Jag hemställer om bifall till lagutskottets förslag, och jag erinrar om att från andra kammarens sida finnes det ingen enda utskottsledamot, som instämt med de av mig nu. senast bemötta reservanterna.</w:t>
      </w:r>
    </w:p>
    <w:p>
      <w:pPr>
        <w:pStyle w:val="Heading2"/>
      </w:pPr>
      <w:r>
        <w:t>3. Emil Gezelius (–, man)</w:t>
      </w:r>
    </w:p>
    <w:p>
      <w:r>
        <w:rPr>
          <w:b w:val="0"/>
        </w:rPr>
        <w:t xml:space="preserve">Såsom den närmast föregående talaren erinrat, har jag anslutit mig till en annan reservation vid den föreliggande paragrafen än den, till förmån för vilken den förste talaren yttrat sig. Såsom redan blivit erinrat, rör den en speciell fråga. Vi ha accepterat Kungl. Maj:ts och utskottets ståndpunkt i fråga om huvudregeln, men vi ha med barn, födda utom äktenskap av gift </w:t>
      </w:r>
      <w:r>
        <w:rPr>
          <w:b/>
        </w:rPr>
        <w:t>kvinna¹</w:t>
      </w:r>
      <w:r>
        <w:rPr>
          <w:b w:val="0"/>
        </w:rPr>
        <w:t xml:space="preserve"> eller av frånskild </w:t>
      </w:r>
      <w:r>
        <w:rPr>
          <w:b/>
        </w:rPr>
        <w:t>hustru²</w:t>
      </w:r>
      <w:r>
        <w:rPr>
          <w:b w:val="0"/>
        </w:rPr>
        <w:t xml:space="preserve">, velat med dessa jämställa utomäktenskapliga barn födda av </w:t>
      </w:r>
      <w:r>
        <w:rPr>
          <w:b/>
        </w:rPr>
        <w:t>änka²</w:t>
      </w:r>
      <w:r>
        <w:rPr>
          <w:b w:val="0"/>
        </w:rPr>
        <w:t xml:space="preserve">. Vi ha hänvisat i vår reservation till de motiv, som återfinnas i särskilt yttrande av en av lagrådets ledamöter. Jag kan därför yttra mig kort, men ber att få framhålla, att lagberedningen, som hämtat föredömet till denna specialregel rörande barn, födda utom äktenskap av gift </w:t>
      </w:r>
      <w:r>
        <w:rPr>
          <w:b/>
        </w:rPr>
        <w:t>kvinna¹</w:t>
      </w:r>
      <w:r>
        <w:rPr>
          <w:b w:val="0"/>
        </w:rPr>
        <w:t xml:space="preserve"> eller frånskild </w:t>
      </w:r>
      <w:r>
        <w:rPr>
          <w:b/>
        </w:rPr>
        <w:t>hustru²</w:t>
      </w:r>
      <w:r>
        <w:rPr>
          <w:b w:val="0"/>
        </w:rPr>
        <w:t xml:space="preserve">, från den tyska och schweiziska rätten, icke dragit samma konsekvenser som dessa två lagstiftningar och jämställt </w:t>
      </w:r>
      <w:r>
        <w:rPr>
          <w:b/>
        </w:rPr>
        <w:t>änka²</w:t>
      </w:r>
      <w:r>
        <w:rPr>
          <w:b w:val="0"/>
        </w:rPr>
        <w:t xml:space="preserve"> med dessa två kategorier. Det åberopas hänsyn till </w:t>
      </w:r>
      <w:r>
        <w:rPr>
          <w:b/>
        </w:rPr>
        <w:t>kvinnan¹</w:t>
      </w:r>
      <w:r>
        <w:rPr>
          <w:b w:val="0"/>
        </w:rPr>
        <w:t xml:space="preserve"> och barnet, men för oss reservanter har det stått klart, att vad det här gäller, det är främst släktens rätt. Det ligger redan i begreppet släktnamn. Det är en släktens tillhörighet och här mannen, som är bärare av släktnamnet. Även hans intresse bör härvidlag beaktas. Vi kunna inte finna det vara konsekvent att giva barn, födda av en </w:t>
      </w:r>
      <w:r>
        <w:rPr>
          <w:b/>
        </w:rPr>
        <w:t>mor²</w:t>
      </w:r>
      <w:r>
        <w:rPr>
          <w:b w:val="0"/>
        </w:rPr>
        <w:t xml:space="preserve">, vars äktenskap blivit upplöst genom skilsmässa, en annan ställning i detta avseende än om </w:t>
      </w:r>
      <w:r>
        <w:rPr>
          <w:b/>
        </w:rPr>
        <w:t>moderns²</w:t>
      </w:r>
      <w:r>
        <w:rPr>
          <w:b w:val="0"/>
        </w:rPr>
        <w:t xml:space="preserve"> äktenskap blivit upplöst genom döden. Snarare skulle jag vilja påstå, att då äktenskapet blivit upplöst genom mannens död, kräver hans namn mera rätt till pietet, än då äktenskapet blivit upplöst genom en laga skilsmässa. I det senare fallet kan man nog i många fall vara övertygad, att han, oavsett vem som är den mest skyldige, icke saknat sin skuld därtill. Såsom även</w:t>
        <w:br/>
        <w:br/>
        <w:t>Lagförslag om framgår av den siste ärade talarens inlägg, ha vi reagerat emot att</w:t>
        <w:br/>
        <w:br/>
        <w:t xml:space="preserve">nu fastslå såsom regel, att barnet ifråga skulle vara berättigat till den mans namn, med vilken dess </w:t>
      </w:r>
      <w:r>
        <w:rPr>
          <w:b/>
        </w:rPr>
        <w:t>mor²</w:t>
      </w:r>
      <w:r>
        <w:rPr>
          <w:b w:val="0"/>
        </w:rPr>
        <w:t xml:space="preserve"> förut varit förenad i äktenskap. Vi bestrida icke därmed att för det fall att denna </w:t>
      </w:r>
      <w:r>
        <w:rPr>
          <w:b/>
        </w:rPr>
        <w:t>kvinna¹</w:t>
      </w:r>
      <w:r>
        <w:rPr>
          <w:b w:val="0"/>
        </w:rPr>
        <w:t xml:space="preserve"> hade barn i äktenskapet med sin avlidne man även de barn, som </w:t>
      </w:r>
      <w:r>
        <w:rPr>
          <w:b/>
        </w:rPr>
        <w:t>hon²</w:t>
      </w:r>
      <w:r>
        <w:rPr>
          <w:b w:val="0"/>
        </w:rPr>
        <w:t xml:space="preserve"> sedan genom ett olovligt könsumgänge fått med en annan man, skulle kunna. då det i övrigt kunde vara motiverat, få åtnjuta förmånen av </w:t>
      </w:r>
      <w:r>
        <w:rPr>
          <w:b/>
        </w:rPr>
        <w:t>moderns²</w:t>
      </w:r>
      <w:r>
        <w:rPr>
          <w:b w:val="0"/>
        </w:rPr>
        <w:t xml:space="preserve"> förvärvade namn, utan att modern behövde återgå till sitt </w:t>
      </w:r>
      <w:r>
        <w:rPr>
          <w:b/>
        </w:rPr>
        <w:t>flicknamn²</w:t>
      </w:r>
      <w:r>
        <w:rPr>
          <w:b w:val="0"/>
        </w:rPr>
        <w:t>.</w:t>
        <w:br/>
        <w:br/>
        <w:t>Med den motiveringen ber jag att få yrka bifall till den av mig med flera avgivna reservationen.</w:t>
      </w:r>
    </w:p>
    <w:p>
      <w:pPr>
        <w:pStyle w:val="Heading2"/>
      </w:pPr>
      <w:r>
        <w:t>4. Sam Stadener (Liberala samlingspartiet, man)</w:t>
      </w:r>
    </w:p>
    <w:p>
      <w:r>
        <w:rPr>
          <w:b w:val="0"/>
        </w:rPr>
        <w:t>Her greve och talman! Vid denna paragraf, som rör släktnamn åt utom äktenskap födda barn, har jag anledning — liksom jag tidigare i dag tillåtit mig göra — att fästa uppmärksamheten på en viss grupp av utomäktenskapliga barn, icke den grupp, som jag talade om vid det tidigare tillfället, utan den grupp, som benämnes trolovningsbarn. Jag finner nämligen, att de bestämmelser angående släktnamn, som innehållas i lagförslagets 1 $i detta fall, när det gäller trolovningsbarn, utgöra en avvikelse från allmänt och välgrundat rättsmedvetande hos vårt folk. Hittills har ett trolovningsbarn haft rätt till faderns släktnamn. Om barnet fötts under trolovningstiden eller föräldrarna efter barnets födelse ingått trolovning, så är fadern känd, han är införd i civilregistret såsom fader, och enligt hittills gällande rätt och allmänt gällande mening är det fullt riktigt, att detta barn bär sin faders namn.</w:t>
        <w:br/>
        <w:br/>
        <w:t xml:space="preserve">Då 1915 års riksdag debatterade de nya äktenskapslagarna, tilllät jag mig frambära vissa betänkligheter med avseende på det fullständiga upphävandet av det gamla trolovningsinstitutet, och det fanns många andra talare, som delade dessa betänkligheter. Och riksdagen beslöt en skrivelse till Konungen, däri det begärdes, att Kungl. Maj:t ville i sammanhang med behandlingen av frågan om regleringen av de utom äktenskap födda barnens rättsliga ställning låta verkställa en utredning, på vilket sätt genom lagstiftningens försorg en förbättrad ställning måtte kunna i olika hänseenden beredas sådana barns </w:t>
      </w:r>
      <w:r>
        <w:rPr>
          <w:b/>
        </w:rPr>
        <w:t>mödrar²</w:t>
      </w:r>
      <w:r>
        <w:rPr>
          <w:b w:val="0"/>
        </w:rPr>
        <w:t xml:space="preserve">, särskilt i de fall, då hävdandet skett under trolovningstiden eller under äktenskapslöfte. Jag menar, att allt för litet hänsyn till denna riksdagens framställning har visats från lagberedningens och utskottets sida. Redan vid denna första paraoraf av lagen konstaterar man, att trolovningsbarn berövats sin hittills varande rätt till faderns släktnamn. Att detta jämväl är ett frånhändande från barnens </w:t>
      </w:r>
      <w:r>
        <w:rPr>
          <w:b/>
        </w:rPr>
        <w:t>mödrar²</w:t>
      </w:r>
      <w:r>
        <w:rPr>
          <w:b w:val="0"/>
        </w:rPr>
        <w:t xml:space="preserve"> av den mera skyddade ställning. deras barns från fadern ärvda släktnamn innebär, är uppenbart. Naturliotvis har denna åtgärd träffats i den orubbade konsekvensens, i den formella riktighetens namn och intresse. Jag betraktar emellertid icke denna ändring av den hittills gällande rätten såsom ett framsteg. och iag är övertygad. att det icke kommer att betraktas så av den allmänhet. som kommer att träffas av denna bestämmelse.</w:t>
        <w:br/>
        <w:br/>
        <w:t>Såsom vi redan förut i dag ha sett, medger 12 8 i lagförslaget</w:t>
        <w:br/>
        <w:br/>
        <w:t>för dessa trolovningsbarn rätt till arv efter fadern, och jag anmär- Lagförslag om ker detta med tillfredsställelse. Men på samma gång och i ansluta äskaT ning till vad herr Alexanderson nyss yttrat, att rätten till arv och (Forts Vv rätten till släktnamn ha sammanhang med varandra, vill jag påtala | den inkonsekvens, som här tydligen föreligger, att trolovningsbarn visserligen skulle äga arvsrätt efter fadern, men icke äga rätt till</w:t>
        <w:br/>
        <w:br/>
        <w:t>Herr Alexanderson anmärkte helt nyss, att det skulle kunna inträffa, att modern, vars avgörande enligt reservationen skulle avvaktas, kunde uppskjuta ett sådant avgörande angående barnets släktnamn ända därhän, att barnet under lång tid skulle komma att alldeles sakna släktnamn. En sådan farhåga torde nog vara alldeles överflödig, och den undanröjes på det enklaste sätt genom ett administrativt förfogande av Kungl. Maj:t i kyrkobokföringsförordningen av innehåll, att avgörandet av släktnamnet skall utan uppskov träffas. Enligt utskottets förslag skall däremot, om ett trolovningsbarn skall erhålla faderns släktnamn, fadern särskilt anmäla sin önskan att åt barnet giva sitt släktnamn. Alltså skulle härefter icke såsom hittills föreligga en rätt från trolovningsbarnets sida, utan, om det erhåller faderns släktnamn, så blir det en åtgärd, som innebär en nedlåtenhet från faderns sida och en namngivning, som blir fullständigt oberäknelig. Trolovningsbarnet har berövats sin hittills varande rätt.</w:t>
        <w:br/>
        <w:br/>
        <w:t>Utan tvivel kommer denna lagstiftning att mottagas med mycken överraskning och mycket ogillande. Det framgår nämligen av erfarenheten, att man överallt bland folket i den allmänna samlevnaden, i folkskolor, i fattigvårdshänseende och korteligen allestädes benämner dessa trolovningsbarn med faderns släktnamn.</w:t>
        <w:br/>
        <w:br/>
        <w:t>Herr greve och talman! För att kunna hävda bevarandet av dessa trolovningsbarns rätt till faderns släktnamn ber jag att få förena mig med den reservation, för vilken herr Stärner fört talan, vilket för mig torde vara den enda vägen att nå det mål jag önskar.</w:t>
        <w:br/>
        <w:br/>
        <w:t>Barnet njute av föräldrarna uppehälle och uppfostran, efter ty med avseende å båda föräldrarnas villkor må anses skäligt.</w:t>
        <w:br/>
        <w:br/>
        <w:t>Den rätt till underhåll, som nu är sagd, upphöre ej förr än barnet fyllt femton år; ej heller senare än det fyllt aderton år, där ej barnets anlag och omständigheterna i övrigt föranleda, att barnet bör erhålla fortsatt utbildning.</w:t>
        <w:br/>
        <w:br/>
        <w:t>Barnet njute av föräldrarna uppehälle och uppfostran, efter ty med avseende å båda föräldrarnas villkor må anses skäligt.</w:t>
        <w:br/>
        <w:br/>
        <w:t>Den rätt till underhåll, som nu är sagd, upphöre ej förr än barnet fyllt sexton år; ej heller senare än det fyllt aderton år, där ej barnets anlag och omständigheterna i övrigt föranleda, att barnet bör erhålla fortsatt utbildning.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266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