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267</w:t>
      </w:r>
    </w:p>
    <w:p>
      <w:r>
        <w:rPr>
          <w:b/>
        </w:rPr>
        <w:t xml:space="preserve">Datum: </w:t>
      </w:r>
      <w:r>
        <w:t>1917-04-25</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Nils Alexanderson (Liberala samlingspartiet, man)</w:t>
      </w:r>
    </w:p>
    <w:p>
      <w:r>
        <w:rPr>
          <w:b w:val="0"/>
        </w:rPr>
        <w:t xml:space="preserve">I fråga om utskottets hemställan att ur det kungl. förslaget utmönstra den 20 $&amp; har jag, herr greve och talman, jämte åtskilliga andra medlemmar av utskottet anmält min reservation. Jag ber att få erinra om, att, då äktenskapslagen för två år sedan antogs, båda kamrarna samstämmigt beslutade en riksdagens skrivelse till Kungl. Maj:t, däri riksdagen anhöll, »att Kungl. Maj:t ville i samband med behandlingen av frågan om reglering av de utom äktenskapet födda barnens rättsliga ställning låta verkställa utredning, på vilket sätt genom lagstiftningens försorg en förbättrad rätbsstälining måtte kunna i olika hänseenden beredas sådana barns </w:t>
      </w:r>
      <w:r>
        <w:rPr>
          <w:b/>
        </w:rPr>
        <w:t>mödrar²</w:t>
      </w:r>
      <w:r>
        <w:rPr>
          <w:b w:val="0"/>
        </w:rPr>
        <w:t>, särskilt i det fall, då hävdandet skett under trolovning eller under äktenskapslöfte».</w:t>
        <w:br/>
        <w:br/>
        <w:t xml:space="preserve">De av kammarens ledamöter, som äro i tillfälle att erinra sig den diskussion, som föregick beslutet om avlåtande av denna skrivelse, måste hava i minnet, att det framför allt var beredande av införselrätt för trolovad övergiven moders skadestånd, som man avsåg med den sålunda avlåtna skrivelsen. Ursprungligen var det föreslaget en annan formulering, som avsåg att även i ideellt hänseende ställa dem bättre, än det då framlagda kungl. förslaget gav utsikt till, men sammanjämkningsvis begränsade man sig till att besluta en skrivelse av nyss återgivna formulering och av nyssnämnda innebörd. I enlighet med denna riksdagens begäran, som överlämnades till lagberedningen, har lagberedningen formulerat denna 20 $, där sådana </w:t>
      </w:r>
      <w:r>
        <w:rPr>
          <w:b/>
        </w:rPr>
        <w:t>mödrar²</w:t>
      </w:r>
      <w:r>
        <w:rPr>
          <w:b w:val="0"/>
        </w:rPr>
        <w:t xml:space="preserve"> för dem tillerkända skadestånd, för så vitt de utgå periodiskt, skola erhålla införselrätt, lika väl som sådan införselrätt medgives för understöd som barn och </w:t>
      </w:r>
      <w:r>
        <w:rPr>
          <w:b/>
        </w:rPr>
        <w:t>mödrar²</w:t>
      </w:r>
      <w:r>
        <w:rPr>
          <w:b w:val="0"/>
        </w:rPr>
        <w:t xml:space="preserve"> kunna erhålla. Emellertid anfördes i riksdagen, och med skäl, att det icke funnes anledning att ställa den övergivna gifta </w:t>
      </w:r>
      <w:r>
        <w:rPr>
          <w:b/>
        </w:rPr>
        <w:t>kvinnan¹</w:t>
      </w:r>
      <w:r>
        <w:rPr>
          <w:b w:val="0"/>
        </w:rPr>
        <w:t xml:space="preserve"> eller den, som tack vare mannens förvållande bivit skild i äktenskapet, sämre än trolovad ogift </w:t>
      </w:r>
      <w:r>
        <w:rPr>
          <w:b/>
        </w:rPr>
        <w:t>moder²</w:t>
      </w:r>
      <w:r>
        <w:rPr>
          <w:b w:val="0"/>
        </w:rPr>
        <w:t>. Och därtill har lagberedningen tagit vederbörlig hänsyn i det den även beträffande deras skadestånd föreslagit införselrätt. Vad sålunda genom detta lagberedningens av Kungl. Maj:t godkända förslag gjorts är effektuerande av en för två år sedan utan meningsskiljaktighet avlåten riksdagens skrivelse, ett effektuerande i just den mening denna skrivelse var avsedd att tagas.</w:t>
        <w:br/>
        <w:br/>
        <w:t>Emellertid har nu utskottets majoritet, under intrycket av en anmärkning, som gjorts av lagrådet, föreslagit att denna bestämmelse återigen skulle utmönstras. Den anmärkning lagrådet framställt går väsentligen ut på, att det icke synes vara skäl att privilegiera dessa skadestånd framför skadeståndsfordran för skada, liden genom annans brottsliga gärning. Det kan visserligen låta riktigt,</w:t>
        <w:br/>
        <w:br/>
        <w:t>och det är också min uppfattning, att skadestånd för brottslig gärning hör till de fordringar, som borde bli exekutivt bättre ställda än de för närvarande äro. Jag har ingenting emot, att man i likhet med vad andra lagstiftningar göra ställer dem i en klass för sig framför vanliga fordringar, till exempel sådana, som uppkommit genom beviljad kredit, och medgiver införselrätt även för dem. Men nödvändigheten av att utesluta de skadestånd, som här äro i fråga från införselrätt, till dess man samtidigt kan taga denna andra fråga i övervägande, kan jag icke inse. Det naturligaste är, att denna fråga löses i sitt naturliga samband med övriga familjerättsliga fordringar, som här i denna dag behandlas, och med vilka detta periodiskt utgående skadestånd i själva verket på det närmaste är besläktat. Jag kan således icke finna annat, än att denna anmärkning icke bör tillerkännas avgörande betydelse.</w:t>
        <w:br/>
        <w:br/>
        <w:t>Då lagen om äktenskap här i kammaren antogs, förklarades det av ordföranden i kammarens madjoritetsparti, herr Trygger, att en kammare icke bör vara såsom barn och ena gången säga si och kort därefter så. Men vad som sålunda gäller om en kammare torde väl gälla riksdagen i sin helhet. Riksdagen har för två år sedan uttryckligen begärt en lagstiftning av det innehåll, denna 20 8 fått i Kungl. Mai:ts förslag. Det kan icke nekas, att det skulle göra ett egendomligt intryck, om Kungl. Maj:t och lagberedningen nu finge besked, att riksdagen icke vill ha en sådan lagstiftning. Kungl. Maj:t har icke låtit imponera på sig av lagrådets framställda anmärkning, och jag kan icke heller finna att det skulle föreligga skäl för riksdagen att göra det.</w:t>
        <w:br/>
        <w:br/>
        <w:t>Herr talman, jag ber att få hemställa om bifall till den kungl. propositionen och att det således här måtte upptagas en 20 $ av den lydelse Kungl. Maj:ts proposition innehåller.</w:t>
      </w:r>
    </w:p>
    <w:p>
      <w:pPr>
        <w:pStyle w:val="Heading2"/>
      </w:pPr>
      <w:r>
        <w:t>2. Emil Gezelius (–, man)</w:t>
      </w:r>
    </w:p>
    <w:p>
      <w:r>
        <w:rPr>
          <w:b w:val="0"/>
        </w:rPr>
        <w:t>Den skrivelse från riksdagen, som den föregående ärade talaren åberopade, är av honom i hans vid betänkandet fogade reservation riktigt angiven. Men jag kan icke inse, att denna skrivelse i och för gig kan tillerkännas den innebörd, han ville giva densamma; och icke heller, att den motion eller de reservationer vid förslaget om äktenskapslag, som efter skiljaktiga beslut mellan kamrarna föranledde skrivelsen, motivera den av Kungl. Maj:t nu föreslagna formen för »förbättrad rättsställning» för dem, om vilka skrivelsen handlar.</w:t>
        <w:br/>
        <w:br/>
        <w:t>Det är givetvis inom andra kammaren som talare yttrat sig i den riktning, som den föregående ärade talaren anser vara för riksdagen bindande i avseende å skrivelsens innebörd. Därom kan jag för min del icke yttra mig. Jag har verkligen icke haft tid att närmare undersöka innebörden av dessa yttranden. Men såvitt en undersökning av förhandlingarna inom denna kammare givit vid handen, fanns det icke något uttalande av någon, som ger stöd för den av den föregående talaren åberopade tolkningen. Vid sådant förhållande förefaller det mig, som om det väsentliga skäl, den ärade talaren anförde för att riksdagen skulle acceptera föreliggande</w:t>
        <w:br/>
        <w:br/>
        <w:t>förslag i denna del, icke vore av den art, att det bör vara bestämmande för kammaren.</w:t>
        <w:br/>
        <w:br/>
        <w:t>I fråga om de reella skäl som tala mot ett bifall till Kungl. Mai:ts förslag ber jag få hänvisa till lagrådets därom uttalade enhälliga mening. Och vidare vill jag hänvisa till utskottets eget uttalande för sin ståndpunkt särskilt därom, att utskottet icke finner övertygande skäl för att giva fordringsanspråk av ifrågavarande art den extra ordinära, privilegierade ställning som införselrätt innebär. Man må besinna, att varje fordringskategori man lämnar förmånen av införselrätt i avsevärd mån försämrar, särskilt bland de ekonomiskt svaga, möjligheten att kunna tillgodose andra, behjärtansvärda och i många konkreta fall långt mera ömmande anspråk. Det är desto mindre skäl för riksdagen att i anknytning till förslaget om införsel för underhållsrätt även behandla denna fråga och klassificera den såsom likställd med övriga fordringar, som avses i införsellagen, som frågan om en viss gradation av olika slags fordringar med avseende å möjligheten av utmätning för dem är föremål för " riksdagens uppmärksamhet den ena riksdagen efter den andra. Även innevarande års riksdag får anledning att sysselsätta sig med detta spörsmål. Frågan har redan varit föremål för lagutskottets behandling, men utskottets beslut är ännu icke justerat, varför jag anser mig förhindrad att om detsamma lämna närmare upplysning.</w:t>
        <w:br/>
        <w:br/>
        <w:t>På grund av de av mig nu anförda skälen ber jag, herr greve och talman, att få yrka bifall till utskottets förslag i denna punkt.</w:t>
      </w:r>
    </w:p>
    <w:p>
      <w:pPr>
        <w:pStyle w:val="Heading2"/>
      </w:pPr>
      <w:r>
        <w:t>3. Nils Alexanderson (Liberala samlingspartiet, man)</w:t>
      </w:r>
    </w:p>
    <w:p>
      <w:r>
        <w:rPr>
          <w:b w:val="0"/>
        </w:rPr>
        <w:t xml:space="preserve">Ja, det går fort att glömma ibland. Herr Gezelius tror, att det kan vara möjligt att, då denna skrivelse för två år sedan avläts, något yttrande av den av mig omnämnda innebörd förekommit inom andra kammaren. Men att en rad av talare i första kammaren hade anföranden, av vilka detsamma framgick, det har alldeles gått honom ur minnet. Jag tillät mig 1915 i polemik mot herr Thyrén angående sammanjämkningsförslaget om äktenskapslagen påpeka, att vad som kunde vinnas genom den föreslagna skrivelsen vore införsel i lönen för dessa skadestånd. Då svarade herr Thyrén: »Huru skall detta skadestånd uttagas? Herr Alexanderson besvarade frågan så, att man kunde tänka sig införsel i lönen och att detta kunde utarbetas i en ny lag. Ja, blott man haft någon aning om hur det kunde gå till.&gt; Men härpå svarade chefen för justitiedepartementet: »Herr Thyrén har också vänt sig mot bestämmelserna om skadestånd. Han sade, att det är gott och väl att tillerkänna </w:t>
      </w:r>
      <w:r>
        <w:rPr>
          <w:b/>
        </w:rPr>
        <w:t>kvinnan¹</w:t>
      </w:r>
      <w:r>
        <w:rPr>
          <w:b w:val="0"/>
        </w:rPr>
        <w:t xml:space="preserve"> rätt till skadestånd, men hur i all världen skall </w:t>
      </w:r>
      <w:r>
        <w:rPr>
          <w:b/>
        </w:rPr>
        <w:t>hon²</w:t>
      </w:r>
      <w:r>
        <w:rPr>
          <w:b w:val="0"/>
        </w:rPr>
        <w:t xml:space="preserve"> få ut det? Jag är ense med honom därom att man bör söka ordna den saken genom förbättrade bestämmelser ifråga om doms verkställande, men man bör icke glömma, att vad 1 detta avseende gäller om </w:t>
      </w:r>
      <w:r>
        <w:rPr>
          <w:b/>
        </w:rPr>
        <w:t>kvinnans¹</w:t>
      </w:r>
      <w:r>
        <w:rPr>
          <w:b w:val="0"/>
        </w:rPr>
        <w:t xml:space="preserve"> rätt till skadestånd, det gäller 1 ännu högre grad om barnens rätt till underhåll, och man bör även lösa dessa bägge frågor i ett sammanhang och icke nu införa ett stadgande om </w:t>
      </w:r>
      <w:r>
        <w:rPr>
          <w:b/>
        </w:rPr>
        <w:t>kvinnans¹</w:t>
      </w:r>
      <w:r>
        <w:rPr>
          <w:b w:val="0"/>
        </w:rPr>
        <w:t xml:space="preserve"> rätt, som icke kan tänkas tillämpad även på barnets.»</w:t>
        <w:br/>
        <w:br/>
        <w:t>Nu är det åsyftade tillfället inne, då man inför detta stadgan-</w:t>
        <w:br/>
        <w:br/>
        <w:t>om införsel i Ja om barnens rätt, och något skäl att nu ytterligare skjuta upp</w:t>
        <w:br/>
        <w:br/>
        <w:t xml:space="preserve">den då av motståndarna till sammanjämkningsförslaget, såsom av ögonblickets behov påkallade, efterlysta införseln till betryggande av </w:t>
      </w:r>
      <w:r>
        <w:rPr>
          <w:b/>
        </w:rPr>
        <w:t>kvinnornas¹</w:t>
      </w:r>
      <w:r>
        <w:rPr>
          <w:b w:val="0"/>
        </w:rPr>
        <w:t xml:space="preserve"> skadestånd torde väl icke kunna anses finnas.</w:t>
        <w:br/>
        <w:br/>
        <w:t>Även andra talare, exempelvis herr K. J. Ekman, visade sig hava samma uppfattning om, vad det var fråga om i det framlagda skrivelszeförslaget.</w:t>
        <w:br/>
        <w:br/>
        <w:t>Jag tror således icke, att de skäl, herr Gezelius ansåg sig hava fullständigt borteskamoterat, så alldeles försvunnit, utan fortfarande leva med ganska kraftigt liv.</w:t>
        <w:br/>
        <w:br/>
        <w:t>Jag vidhåller mitt yrkande.</w:t>
      </w:r>
    </w:p>
    <w:p>
      <w:pPr>
        <w:pStyle w:val="Heading2"/>
      </w:pPr>
      <w:r>
        <w:t>4. Karl Ekman (Första kammarens nationella parti, man)</w:t>
      </w:r>
    </w:p>
    <w:p>
      <w:r>
        <w:rPr>
          <w:b w:val="0"/>
        </w:rPr>
        <w:t xml:space="preserve">Riksdagen antog år 1915 ifrågavarande skrivelseförslag i känslan av, tror jag, att man genom den nya äktenskapslagen hade begått en orättvisa mot </w:t>
      </w:r>
      <w:r>
        <w:rPr>
          <w:b/>
        </w:rPr>
        <w:t>kvinnan¹</w:t>
      </w:r>
      <w:r>
        <w:rPr>
          <w:b w:val="0"/>
        </w:rPr>
        <w:t xml:space="preserve">. </w:t>
      </w:r>
      <w:r>
        <w:rPr>
          <w:b/>
        </w:rPr>
        <w:t>Kvinna¹</w:t>
      </w:r>
      <w:r>
        <w:rPr>
          <w:b w:val="0"/>
        </w:rPr>
        <w:t xml:space="preserve"> som exempelvis varit hävdad under trolovning, hade förut en verklig äktenskaplig rätt. Det s. k. ofullkomnade äktenskapet, hur olämpligt det ur många synpunkter var, gav </w:t>
      </w:r>
      <w:r>
        <w:rPr>
          <w:b/>
        </w:rPr>
        <w:t>henne²</w:t>
      </w:r>
      <w:r>
        <w:rPr>
          <w:b w:val="0"/>
        </w:rPr>
        <w:t xml:space="preserve"> en dock Belt annan ställning, än den lösa </w:t>
      </w:r>
      <w:r>
        <w:rPr>
          <w:b/>
        </w:rPr>
        <w:t>kvinnans¹</w:t>
      </w:r>
      <w:r>
        <w:rPr>
          <w:b w:val="0"/>
        </w:rPr>
        <w:t xml:space="preserve">. Denna äktenskapsrätt bortföll, och </w:t>
      </w:r>
      <w:r>
        <w:rPr>
          <w:b/>
        </w:rPr>
        <w:t>hon²</w:t>
      </w:r>
      <w:r>
        <w:rPr>
          <w:b w:val="0"/>
        </w:rPr>
        <w:t xml:space="preserve"> avspisades med ett skadestånd. Herr Alexanderson har redan antytt, att meningen med ifrågavarande skrivelse var icke blott en större säkerhet för skadeståndets utfående utan även att </w:t>
      </w:r>
      <w:r>
        <w:rPr>
          <w:b/>
        </w:rPr>
        <w:t>kvinnan¹</w:t>
      </w:r>
      <w:r>
        <w:rPr>
          <w:b w:val="0"/>
        </w:rPr>
        <w:t xml:space="preserve"> skulle få en mera ideell upprättelse, om trolovningen ensidigt bröts av mannen. Det är tydligt, att man icke kunnat finna något sätt att giva </w:t>
      </w:r>
      <w:r>
        <w:rPr>
          <w:b/>
        </w:rPr>
        <w:t>henne²</w:t>
      </w:r>
      <w:r>
        <w:rPr>
          <w:b w:val="0"/>
        </w:rPr>
        <w:t xml:space="preserve"> en sådan. Och när man en gång inriktat sig på att icke vilja tillerkänna </w:t>
      </w:r>
      <w:r>
        <w:rPr>
          <w:b/>
        </w:rPr>
        <w:t>kvinnan¹</w:t>
      </w:r>
      <w:r>
        <w:rPr>
          <w:b w:val="0"/>
        </w:rPr>
        <w:t xml:space="preserve"> någon äktenskaplig rätt, utan allenast ett skadestånd, får man taga konsekvenserna av den ståndpunkten. Utskottet har här dragit desså konsekvenser.</w:t>
        <w:br/>
        <w:br/>
        <w:t>Emellertid vill jag icke göra något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267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