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1394</w:t>
      </w:r>
    </w:p>
    <w:p>
      <w:r>
        <w:rPr>
          <w:b/>
        </w:rPr>
        <w:t xml:space="preserve">Datum: </w:t>
      </w:r>
      <w:r>
        <w:t>1918-05-03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Carlström (Folkpartiet, man)</w:t>
      </w:r>
    </w:p>
    <w:p>
      <w:r>
        <w:rPr>
          <w:b w:val="0"/>
        </w:rPr>
        <w:t>Herr talman, mina herrar! Jag har för min del varit mycket betänksam, om jag skulle kunna gå med på utskottets utlåtande eller ej. Jag hör icke till dem, som tro, att utredningen skulle vara så farlig, om den vore förutsättningslös, och jag hör till dem, som skulle önska, att vi finge undervisningen i kristendom annorlunda än den katekesen nu ger. Men det är ett ut-' tryck i utskottsutlåtandets kläm, som jag fäst mig vid, då det nämligen där heter, att utredningen skall gälla »en efter tidens krav avpassad reformering av religionsundervisningen i skolorna». Nu frågar jag: vad är detta tidens krav? Har man motionärernas syn på saken, blir kravet ändock att undergräva tron på kristendomens värde och bibelns auktoritet. Jag för min del vill icke gå med på att detta är tidens krav, utan jag vill säga, att tiden kräver mer än någonsin förr, att kristendomens sanningar tros och omfattas.</w:t>
        <w:br/>
        <w:br/>
        <w:t>Nu heter det här vidare: »Den prövning, som här måste ske, bör gälla frågan i hela dess vidd och sålunda omfatta även moralpedagogiken. Prövningen, som bör anförtros åt personer med kunskap, fördomsfrihet, vidsynthet och pedagogisk erfarenhet, måste vidare vara förutsättningslös och ha till enda direktiv att söka ge sådana riktlinjer för skolans religionsoch moralundervisning, att de . konflikter av mångahanda slag, som den med sin nuvarande läggning vållar måtte hävas.» Ja, då kan man fråga sig, om det verkligen kan vara möjligt att få en sådan utredning, att man kan komma därhän, att dessa konflikter kunna hävas. Det har alltid rått strid, då det gällt religionsfrågor, och denna strid skall fortfara. Att</w:t>
        <w:br/>
        <w:br/>
        <w:t>få en religionsundervisning, som alla kunna vara med om, det tror jag är omöjligt.</w:t>
        <w:br/>
        <w:br/>
        <w:t>Skulle nu utredningen gå i den riktningen att kristendomen jämnställdes med andra religioner, och så, att försanthållandet av det centrala i kristendomen bortelimineras, då kan jag icke gå med på en sådan utredning. Men om utredningen icke går i den riktningen, tror jag icke, att herrar motionärer känna sig belåtna med den, och då blir det strid i alla fall. Jag hörde nyligen någon säga, att om vi icke gå med på detta utredningskrav då — börjar den stora striden. Jag får då säga, att jag vill hellre vara med om den stora striden efter klara linjer än vara med om en utredning efter de direktiv utskottet angivit.</w:t>
        <w:br/>
        <w:br/>
        <w:t>Professor Kjellberg framhöll i sitt för övrigt mycket vackra anförande, att kristendomen gjort bankrutt, då den icke förmått giva mänskligheten vad den skulle ge och att kristendomen rent av fört oss till kriget. Jag frågar: om vi hade haft en annan religion i Europas länder, skulle då icke detta krig ha kommit. Kan man så att säga kasta skulden på kristendomen för att världskriget kommit? Det kan man naturligtvis icke göra.</w:t>
        <w:br/>
        <w:br/>
        <w:t xml:space="preserve">Han talade också om tysken Rathenaus idealism som kommit till uttryck i en bok, som heter »Kommande tider och kommande ting.» Jag har läst boken, och den innehåller mycket vackra tankar, men jag tror, att man får vara nästan professor för att kunna förstå sig på den idealismen. Jag tror icke, att det är mycket att bjuda barnen i skolorna på Rathenaus idealism. Rathenau säger i boken på ett ställe, att i vår tid är det allt svårare att finna en människa, vilkens övertygelse icke sammanfaller med </w:t>
      </w:r>
      <w:r>
        <w:rPr>
          <w:b/>
        </w:rPr>
        <w:t>hennes²</w:t>
      </w:r>
      <w:r>
        <w:rPr>
          <w:b w:val="0"/>
        </w:rPr>
        <w:t xml:space="preserve"> intressen. Det är nog sant, d. v. s. övertygelsen sammanfaller nu så med människornas in-</w:t>
        <w:br/>
        <w:br/>
        <w:t>tresse att det gäller att slå åt sig så mycket som möjligt i kampen</w:t>
        <w:br/>
        <w:br/>
        <w:t>mot de andra. Det är icke Kristi religion, men icke rår Kristi relision för att människorna avlägsnat sig ifrån honom. Jag frågar, om det i världshistorien finnes någon, som såsom Jesus Kristus har framhållit det rätta. det sanna, det sköna och det goda, och varför skola vi då icke fortsätta att i skolorna undervisa i Jesu Kristi religion? Jag kan icke gå med på en utredning, som söker kringskära tron på denna religion.</w:t>
        <w:br/>
        <w:br/>
        <w:t>Herr talman, jag ber att få yrka avslag på motionerna och utskottets hemställan.</w:t>
      </w:r>
    </w:p>
    <w:p>
      <w:pPr>
        <w:pStyle w:val="Heading2"/>
      </w:pPr>
      <w:r>
        <w:t>2. Sven Bengtsson (Folkpartiet, man)</w:t>
      </w:r>
    </w:p>
    <w:p>
      <w:r>
        <w:rPr>
          <w:b w:val="0"/>
        </w:rPr>
        <w:t>Herr talman! Det brukar vara vanligt vid enhälliga utskottsutlåtanden, att det icke blir långvariga debatter, men då man läste detta betänkande och såg det resultat, utskottet kommit till, och tog i betraktande det betydelsefulla, för att icke säga, ömtåliga ämne, motionärerna beröra, kunde man lätt förstå. att det skulle bli icke en liten utan en stor debatt.</w:t>
        <w:br/>
        <w:br/>
        <w:t>Då det gäller dessa fyra motioner, kan man uppdela dem i tvenne</w:t>
        <w:br/>
        <w:br/>
        <w:t>grupper, dels sådana, som kräva konfessionslös religionsundervisning Ang. religionsobligatoriskt, och dels sådana, som vilja avskaffa katekesen och er- RA er re den sätta den med sedelära eller bibelläsning. Jag anser att en konpostotornar</w:t>
        <w:br/>
        <w:br/>
        <w:t>fessionslös religionsundervisning, är en självmotsägelse och en omöjlighet att åstadkomma. Det får vara antingen det ena eller det andra. Skall man undervisa i kristendom och låta kristendomens sanningar vara de verksamma, då måste personligheten framträda. om det skall beröra barnens sinnen. Tikaså då undervisningen sker i andra religioner såsom Muhamedanism eller Buddhaism. Vad angår katekesutanläsningen, svmpatiserar Jag med, att taga bort den ur skolorna. Jag förstår så väl herr Hanssons 1 Mora yttrande, då han talade om lärarnas svårigheter på detta område. Det är nog så, att katekesutanläsningen har kanske haft sina stora betydelse på sin tid. men jag tror icke jag överdriver, om jag säger, att den i vår tid gör mer skada än nytta för kristendom. Många, som pluggat katekesen utan att förstå vad den innehåller, ha med glädje slagit pärmarna ihop, då de lyckats lära sig styckena utantill, och varit glada över att vidare slippa taga i denna bok och kanske de mången gång genom detta katekesplugg fått en avsmak för kristendomen och dess sanningar, som gjort, att de icke gärna styra sina steg till de platser, där Guds ord förkunnas.</w:t>
        <w:br/>
        <w:br/>
        <w:t>Denna katekesläsning är ju för övrigt utdömd av både riksdagen och kyrkomötet. Det har begärts, att en katekes efter vår tids krav skulle utarbetas, och man har försökt sig på det på olika sätt och på olika tider, men hittills misslycktas, och det sista förslaget tycks icke heller ha vunnit godkännande, åtminstone icke i stort sett, så att man kan lägga det till grund för undervisningen. Då det gäller den gamla katekesen, måste man vara mer än barn till förståndet för att förstå fjärde och femte huvudstyckena. Det är icke lämpat för barnaåren utan det är lämpat för undervisning vid en högre ålder.</w:t>
        <w:br/>
        <w:br/>
        <w:t>De två motionerna kräva i stället, den ena en lärobok 1 sedelära och den andra att direkt genom bibelläsning giva kristendomsundervisning i våra skolor. Jag anser, det icke vara lämpligt att sätta bibeln direkt i händerna på våra folkskollärare och folkskollärarinnor. utan hellre då genom utdrag ur bibeln utarbeta en lärobok, och denna lämpad för det åldersstadium, i vilket barnen befinna sig. Det måste finnas en bok för småskolan och en annan för äldre årsklasser, där man kan lägga planen högre.</w:t>
        <w:br/>
        <w:br/>
        <w:t>Nu har det, såsom vi märkt av debatter förut i kammaren, blivit modernt att plöja med ärkebiskopens politiska kalvar. Vi hörde redan under debatten om den borgerliga begravningen, hur man citerade honom för att få stöd för att lägga en del av det svenska folket efter döden utanför kyrkomuren och en anann del innanför. Mig förvånar det, att ärkebiskopen kunnat komma med en dylik tanke. Det är väl icke lämpligt i vår tid att dela upp det svenska folket i två nationer på detta sätt, utan ha de bidragit till kyrkogårdarnas iordningsställande och ha de under livstiden med sina penningar bidragit till att betala och underhålla både präst och kyrka, så må det väl</w:t>
        <w:br/>
        <w:br/>
        <w:t>Nu har utskottet emellertid i detta utlåtande återgivit uttalanden av ärkebiskopen. Det är icke mindre än i fyra stycken, som ärkebiskopen citeras, och det försökes från utskottets sida att därmed påverka riksdagen. Det påstås, att det är just ärkebiskopens uttalanden i Stockholms-Tidningen, som gjort, att man kunnat få ett så enhälligt utskottsutlåtande som det nu föreliggande. Det må vara med den saken huru som helst, så äro de i alla fall väl utnyttjade.</w:t>
        <w:br/>
        <w:br/>
        <w:t>Även jag tillåter mig att citera ärkebiskopen. Han har i denna fråga direkt uttalat sig i dagens nummer av Stockholms-Tidningen. Med avseende på utredningskravet i utskottets yrkande på religionsundervisningen, säger han så här: »Det har nämligen blivit bekant att folkskolöverstyrelsens arbete med religionsundervisningens reformering redan fortskridit så långt, att den nya normalplanen kan väntas inom en icke avlägsen framtid. Härav bekräftas den mening, vari mina artiklar utmynnade. Det skulle ligga något oerhört 1 att genom beslut om vittutseende åtgärder på förhand underkänna ett av offentlig, med rätta högt betrodd myndighet, utfört värv redan innan detta är avslutat och har nått offentligheten. Även om den bebådade nya normalplanen förelåge, vore det betänkligt att genast överbjuda densamma med nya officiella utredningar och experiment, innan den fått tillfälle att ens visa sina första verkningar.»</w:t>
        <w:br/>
        <w:br/>
        <w:t>Detta väger mycket tungt i vågskålen, vid avgörandet av utlåtandet, som utskottet nu har framlagt, ty det är ju givet, att har andra kammaren 1915 uttalat sig för en utredning, så är det väl icke lämpligt, att vi nu uttala oss för en ny sådan. Vi uttalade oss då för en omläggning, och det är denna, som folkskolöverstyrelsen håller på med. Jag har hört av överdirektör Bergqvist, att denna kan vara färdig om en eller en och en halv månad.</w:t>
        <w:br/>
        <w:br/>
        <w:t>Det utlåtande, som man här har framför sig, är ett mästerskap i konsten att dölja tankarna genom ord, och den person, som där fört pennan, är känd för att vara mycket talangfull.</w:t>
        <w:br/>
        <w:br/>
        <w:t>Jag skall också be att något få uppehålla mig vid vad herr Kjellberg yttrade före middagen. Glädjande att höra och mycket sympatisk verkade den hänsynsfullhet, som han visade olika tänkande i religiösa ting och respekten för andras religiösa meningar. Jag tror, att man också på det håll, som jag tillhör, bör visa samma hänsynsfullhet tillbaka, då man märker det allvar, det djupgående allvar, som finnes hos honom. Han frågade med tanke på de många kyrkor, som blivit uppförda och de många predikningar, som blivit hållna, varför allt detta medfört så liten effekt. Ja, jag tror man kan svara, att det beror uteslutande på att kristendomens anda icke fått hos den enskilda individen den plats 1 hjärta och sinne, som bort tillkomma den. Det räcker icke att bo i ett land, som genom statens försorg kallas kristet, och därvid iakttaga vissa kristliga bruk; därmed visar man icke, att man är kristen.</w:t>
        <w:br/>
        <w:br/>
        <w:t>Herr Kjellberg upprepade flera gånger i sitt anförande om de</w:t>
        <w:br/>
        <w:br/>
        <w:t>andliga värdena och den rättfärdighet, som han för sin del vill ha fram, och det visar ju, att han har den förhoppningen, att om dessa andliga värden och den rättfärdighetskänsla, som han så mycket talade om, skola komma till synes och behärska barnasinnet och mänskligheten, så skulle det bliva mycket bättre i världen. Men jag frågar: var finnas dessa andliga värden, var finnes den rättfärdighet, som han ger så mycket erkännande åt, på bättre sätt framhållen än i den heliga skrift, och var kunna de komma bättre till synes än i kristendomen, där denna får vara verksam. Då det heter: allt vad I viljen att människorna skola göra eder, det gören I ock dem, så är detta ett bevis för vad kristendomen vill verka och åstadkomma.</w:t>
        <w:br/>
        <w:br/>
        <w:t xml:space="preserve">Nu säger man: det synes så litet härav i minniskolivet. Det är sant, men det är icke kristendomens fel, att människorna icke mottaga Kristus och leva efter kristendomens lära. För övriga är icke kristendomen blott en lära, utan kristendomen är liv. Den är icke en förståndssak, utan den är en trossak, och är det sant, vad bibeln härom lär, att tron kommer genom undervisning och undervisning kommer genom Guds ord, då är det ett helgerån att röva bort denna undervisning från de unga barnasinnena, då de genom denna undervisning kunna bliva goda kristna, goda samhällsmedborgare, goda svenska män och </w:t>
      </w:r>
      <w:r>
        <w:rPr>
          <w:b/>
        </w:rPr>
        <w:t>kvinnor¹</w:t>
      </w:r>
      <w:r>
        <w:rPr>
          <w:b w:val="0"/>
        </w:rPr>
        <w:t>.</w:t>
        <w:br/>
        <w:br/>
        <w:t>Med dessa ord ber jag, herr talman, att få yrka avslag på utskottets utlåtande.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1394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