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1397</w:t>
      </w:r>
    </w:p>
    <w:p>
      <w:r>
        <w:rPr>
          <w:b/>
        </w:rPr>
        <w:t xml:space="preserve">Datum: </w:t>
      </w:r>
      <w:r>
        <w:t>1918-05-11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Hederstierna (Lantmanna- och borgarepartiet inom andrakammaren, man)</w:t>
      </w:r>
    </w:p>
    <w:p>
      <w:r>
        <w:rPr>
          <w:b w:val="0"/>
        </w:rPr>
        <w:t>När man hörde den förste ärade taluren, som hyllade den principen, att självskrivenhet till kommunala nämnder aldrig borde förekomma, förstår man ju, att han kommi: till det resultatet, att första stycket av denna paragraf bör alldeles utgå, Man får emellertid icke taga detta enbari teoretiskt och principiellt, utan om det är nyttigt för samhället att ha med en viss person vid fattigvårdsstyrelsens sammanträden, så får man väl främst se på nyttighetssynpunkten. Och, såsom utskottets vice ordförande nyss vitsordat, äro nog alla inom utskottet åtminstone tämligen överens om, att det är nyttigt, att kyrkoherden deltager i fattigvårdsstyrelsens förhandlingar. Genom sin ämbetsverksamhet bör han komma de fattiga särskilt nära och gör det, och de synpunkter han kan framdraga vid fattigvårdsstyrelsens överläggningar kunna icke vara annat än nyttiga för dessa.</w:t>
        <w:br/>
        <w:br/>
        <w:t>Nu har herr vice ordföranden ju hemställt, att kyrkoherden skulle få vara närvarande, men däremot anser han, att kyrkoherden icke skulle få deltaga i besluten. Men inför man ett sådant stadgande, blir ju följden lätt den. att för kyrkoherden, som vet, att han bara får sitta där och kan framföra sin åsikt och.g&amp;e sina råd och upplysningar men icke kan deltaga i besluten, mister det hela sitt intresse. Följden blir, att han aldrig kommer att infinna sig vid sammanträdena. Det är en olägenhet, som jag tror man bör draga sig för att framkalla.</w:t>
        <w:br/>
        <w:br/>
        <w:t>Däremot är det alldeles rätt, som det sades. att han för närvarande ingen ansvarsskyldighet har i fråga om förvaltningen av de medel, som fattigvårdsstyrelsen har om händer. Men just i detta avseende har man i utskottet gjort hemställan om att man skulle skriva till Kungl. Maj:t och begära en utredning om hur med ansvarsskyldigheten för fattigvårdsstyrelsens ledamöter skulle för framtiden ställas. Bestämmelsen härom bör enligt min mening icke vara så sträng som den för närvarande enligt den nya lagen är, utan den bör ungefär vara likställd med vad som gäller i det privata livet i allmänhet för en styrelseledamot i något företag, men denna ansvarsskyldighet bör däremot enligt min åsikt utsträckas även till kyrkoherden. Är han med om besluten och skall vara med om besluten. hör han vara lika ansvarsskyldig som de andra.</w:t>
        <w:br/>
        <w:br/>
        <w:t>Med stöd av vad jag sålunda anfört ber jag att få yrka bifall till n'skottets förslag.</w:t>
        <w:br/>
        <w:br/>
        <w:t xml:space="preserve">I fråga om anordningarna vid fattigvårdsanstalt, som i 31 $ sägs, skall iakttagas, att åt män och </w:t>
      </w:r>
      <w:r>
        <w:rPr>
          <w:b/>
        </w:rPr>
        <w:t>kvinnor¹</w:t>
      </w:r>
      <w:r>
        <w:rPr>
          <w:b w:val="0"/>
        </w:rPr>
        <w:t xml:space="preserve"> beredes bostad i särskilda rum samt att, därest sinnessjuka, sinnesslöa, tuberkulösa eller med svårare sjukdom behäftade understödstagare icke kunna erhålla vård å anstalt, som i 35 $ avses, utan måste intagas å fattigvårdsanstalten, dessa vårdas i särskilda rum eller avdelningar, så vida cj i särskilda fall annat finnes kunna ske utan men för den sjuke eller övriga understödstagare.</w:t>
        <w:br/>
        <w:br/>
        <w:t>Även i övrigt bör noga tillses, att en lämplig fördelning av understödstagarna äger rum. Där så ske kan, böra äkta makar få bo tillsammans för sig, om ej någon av dem önskar annorlunda.</w:t>
        <w:br/>
        <w:br/>
        <w:t>Å anstalten bör tillfälle beredas till arbete för sådana understödstagare, som äro i någon mån arbetsföra.</w:t>
        <w:br/>
        <w:br/>
        <w:t>Till föreståndare eller föreståndarinna för anstalten må endast antagas person, som äger nödiga förutsättningar för skötande av dylik befattning.</w:t>
      </w:r>
    </w:p>
    <w:p>
      <w:pPr>
        <w:pStyle w:val="Heading2"/>
      </w:pPr>
      <w:r>
        <w:t>2. Ulrik Leander (Frisinnade folkpartiet, man)</w:t>
      </w:r>
    </w:p>
    <w:p>
      <w:r>
        <w:rPr>
          <w:b w:val="0"/>
        </w:rPr>
        <w:t>Herr talman! Jag ber att vid denna paragraf få yrka bifall till den av herr Källman Jämte ett par andra utskottsmedlemmar avgivna reservationen, vari föreslås, att efter tredje stycket måtte införas ett nytt stycke, så lydande: »Till föreståndare eller föreståndarinna för anstalten må endast antagas person, som äger nödiga förutsättningar för skötande av dylik befattning.» Såsom vi finna av paragrafen, innehåller den ganska detaljerade bestämmelser rörande de inre anordningarna inom nu ifrågavarande anstalter, såsom understödstagarnas placering o. s. v. Men om en utav de viktigaste förutsättningarna, för att vården skall kunna bli den av lagen åsyftade, har ingenting nämnts, den nämligen, att varje anstalt skall förestås av en för uppdraget lämplig person. Meningen är ju, att dessa anstalter skola bli verkliga hem och icke endast fattighus av den gamla ökända typen, och det ber jag att få påpeka, i synnerhet för min vän herr Hamrin, om han finnes närvarande här i kammaren.</w:t>
        <w:br/>
        <w:br/>
        <w:t>Nu säger utskottet, att det naturligtvis ligger i fattigvårdsstyrelsernas intresse att skaffa sig lämpliga föreståndare. Ja, det är ju bra att hysa en dylik förhoppning, men verkligheten jävar i alla fall detta utskottets påstående. Inom utskotbet anfördes en hel mängd exempel på, att det är ganska illa beställt i detta hänseende. BI. a. fick utskottet mottaga en skrivelse från Svenska fattigvårdsförbundets avdelning för fattigvårdsfunktionärer, varom emellertid ingenting blivit nämnt i utskottets betänkande. J ag skall be att ur denna skrivelse få anföra ett par exempel för att visa, vad jag nu här sagt och som vi för övrigt torde ha erfarenhet av litet var. Det heter i skrivelsen: »Huru ringa känsla fattigvårdsstyrelserna stundom kunna hava för betydelsen av en lämplig anstaltsledning, framgår av många fall, som kommit till vår kännedom. Så +t. ex. ansåg sig en fattigvårdsstyrelse bäst lösa frågan om ledningen av ålderdomshemmet genom att avskeda en för uppdraget lämplig föreståndarinna, vilken mot skälig lön på ett fullt tillfredsställande sätt skött både anstalten</w:t>
        <w:br/>
        <w:br/>
        <w:t xml:space="preserve">och understödstagarna under flera år, och i </w:t>
      </w:r>
      <w:r>
        <w:rPr>
          <w:b/>
        </w:rPr>
        <w:t>hennes²</w:t>
      </w:r>
      <w:r>
        <w:rPr>
          <w:b w:val="0"/>
        </w:rPr>
        <w:t xml:space="preserve"> ställe anställde en ogift </w:t>
      </w:r>
      <w:r>
        <w:rPr>
          <w:b/>
        </w:rPr>
        <w:t>kvinna¹</w:t>
      </w:r>
      <w:r>
        <w:rPr>
          <w:b w:val="0"/>
        </w:rPr>
        <w:t xml:space="preserve">, som en dag fanns liggande i skogen, där </w:t>
      </w:r>
      <w:r>
        <w:rPr>
          <w:b/>
        </w:rPr>
        <w:t>hon²</w:t>
      </w:r>
      <w:r>
        <w:rPr>
          <w:b w:val="0"/>
        </w:rPr>
        <w:t xml:space="preserve"> framfött ett barn. Barnet var det 3:dje i ordningen, samtliga med olika fäder. Sedan </w:t>
      </w:r>
      <w:r>
        <w:rPr>
          <w:b/>
        </w:rPr>
        <w:t>hon²</w:t>
      </w:r>
      <w:r>
        <w:rPr>
          <w:b w:val="0"/>
        </w:rPr>
        <w:t xml:space="preserve"> tillfrisknat lämnades </w:t>
      </w:r>
      <w:r>
        <w:rPr>
          <w:b/>
        </w:rPr>
        <w:t>henne²</w:t>
      </w:r>
      <w:r>
        <w:rPr>
          <w:b w:val="0"/>
        </w:rPr>
        <w:t xml:space="preserve"> i uppdrag att förestå fattigvårdsanstalten utan lön.</w:t>
        <w:br/>
        <w:br/>
        <w:t xml:space="preserve">Inträffa kan ock, såsom nyligen hänt, att en fattigvårdsstyrelse, trots anmärkning från Kon. befhde, dock anser sig ha tillfredsställande ordnat förhållandena inom fattigvårdsanstalten, då till föreståndarinna alltjämt bibehålles en ogift </w:t>
      </w:r>
      <w:r>
        <w:rPr>
          <w:b/>
        </w:rPr>
        <w:t>kvinna¹</w:t>
      </w:r>
      <w:r>
        <w:rPr>
          <w:b w:val="0"/>
        </w:rPr>
        <w:t xml:space="preserve">, som under de tio år </w:t>
      </w:r>
      <w:r>
        <w:rPr>
          <w:b/>
        </w:rPr>
        <w:t>hon²</w:t>
      </w:r>
      <w:r>
        <w:rPr>
          <w:b w:val="0"/>
        </w:rPr>
        <w:t xml:space="preserve"> förestått anstalten därstädes fött fem barn med fyra olika fäder. Två barn hade </w:t>
      </w:r>
      <w:r>
        <w:rPr>
          <w:b/>
        </w:rPr>
        <w:t>hon²</w:t>
      </w:r>
      <w:r>
        <w:rPr>
          <w:b w:val="0"/>
        </w:rPr>
        <w:t xml:space="preserve"> förut och av de sju barnen kvarvoro fem hos modern, som till bostad för sig och barnen hade fått det för hemmet gemensamma köket upplåtet.»</w:t>
        <w:br/>
        <w:br/>
        <w:t>Det finnes flera dylika exempel anförda uti denna skrivelse. Men där ges även exempel på, vilken fördel det är för ett dylikt hem, att detsamma förestås av en lämplig föreståndare eller föreståndarinna, och hurusom detta även medför ekonomisk vinning för vederbörande fattigvårdsstyrelse.</w:t>
        <w:br/>
        <w:br/>
        <w:t>Nu påstår utskottet, att ett införande i lagtexten av en sådan föreskrift som den nu nämnda icke heller skulle gagna till någonting och därför vore utan betydelse. Ja, detsamma skulle man då kunna säga om alla de i lagen förekommande detaljbestämmelser rörande olika anordningar inom här ifrågavarande anstalter. Om en dylik föreskrift kommer in i lagtexten, utgör den dock ett memento, ett giv akt för fattigvårdsstyrelserna att tänka på den persons lämplighet såsom föreståndare eller föreståndarinna, som de anställa i sådan egenskap, och att icke blott se till att de få den billigaste, vilket nu ofta är fallet.</w:t>
        <w:br/>
        <w:br/>
        <w:t>Jag ber därför, herr talman, att återigen få yrka bifall till den vid nu förevarande punkt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