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1438</w:t>
      </w:r>
    </w:p>
    <w:p>
      <w:r>
        <w:rPr>
          <w:b/>
        </w:rPr>
        <w:t xml:space="preserve">Datum: </w:t>
      </w:r>
      <w:r>
        <w:t>1919-05-11</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Lars Borggren (Socialdemokraterna, man)</w:t>
      </w:r>
    </w:p>
    <w:p>
      <w:r>
        <w:rPr>
          <w:b w:val="0"/>
        </w:rPr>
        <w:t>Herr talman! Som kammaren finner av betänkandet har vid denna punkt av mig och herr Bäcklund avgivits en blank reservation. Vi hava nämligen icke kunnat biträda det beslut,</w:t>
        <w:br/>
        <w:br/>
        <w:t xml:space="preserve">Motionären hemställer om en pension på 300 kronor till förrådsbiträdet Karl Wilhelm Rudbergs </w:t>
      </w:r>
      <w:r>
        <w:rPr>
          <w:b/>
        </w:rPr>
        <w:t>änka²</w:t>
      </w:r>
      <w:r>
        <w:rPr>
          <w:b w:val="0"/>
        </w:rPr>
        <w:t xml:space="preserve"> Anna Rudberg, född Olsson. Denne Rudberg har varit anställd i statens tjänst under en tid av 25 år. Först var han anställd som artillerist och sedan som förrådsbiträde. Om man jämför detta fall med det, som avses i den motion, som är avlämnad av herr Hamrin under punkt 71 detta betänkande, så finner man, att de äro ungefär likartade. Den person, vars </w:t>
      </w:r>
      <w:r>
        <w:rPr>
          <w:b/>
        </w:rPr>
        <w:t>änka²</w:t>
      </w:r>
      <w:r>
        <w:rPr>
          <w:b w:val="0"/>
        </w:rPr>
        <w:t xml:space="preserve"> tillerkändes pension under punkt 7 i utskottets betänkande, har varit anställd först såsom artillerist och sedan vid artilleriets skomakarverkstader, därav under de sista 15 åren såsom verkstadsföreståndare. Då man jämför dessa två motioner, så kan man säga, att fallen äro ungefär likartade, och vi kunna från vår utgångspunkt icke anse annat, än att utskottet även bort tillstyrka den motion, som här framlagts av herr Leander.</w:t>
        <w:br/>
        <w:br/>
        <w:t xml:space="preserve">Nu befinner sig denna </w:t>
      </w:r>
      <w:r>
        <w:rPr>
          <w:b/>
        </w:rPr>
        <w:t>änka²</w:t>
      </w:r>
      <w:r>
        <w:rPr>
          <w:b w:val="0"/>
        </w:rPr>
        <w:t xml:space="preserve"> efter vad intygen visa i mycket små omständigheter. Riksdagen brukar alltid, då det gäller sådana fall, bevilja understöd till änkor, vars män varit anställda i statens tjänst. Jag vill därför för min del, herr talman, be att få yrka bifall till den motion, som är väckt av herr Leander. Det är naturligtvis icke roligt för en sådan </w:t>
      </w:r>
      <w:r>
        <w:rPr>
          <w:b/>
        </w:rPr>
        <w:t>änka²</w:t>
      </w:r>
      <w:r>
        <w:rPr>
          <w:b w:val="0"/>
        </w:rPr>
        <w:t xml:space="preserve"> att på ålderns dagar vara hänvisad till att begära understöd från fattigvården, då </w:t>
      </w:r>
      <w:r>
        <w:rPr>
          <w:b/>
        </w:rPr>
        <w:t>hennes²</w:t>
      </w:r>
      <w:r>
        <w:rPr>
          <w:b w:val="0"/>
        </w:rPr>
        <w:t xml:space="preserve"> man varit anställd i statens tjänst under en tid av 25 år. </w:t>
      </w:r>
      <w:r>
        <w:rPr>
          <w:b/>
        </w:rPr>
        <w:t>Hon²</w:t>
      </w:r>
      <w:r>
        <w:rPr>
          <w:b w:val="0"/>
        </w:rPr>
        <w:t xml:space="preserve"> har då ingen annan utväg än att vända sig till riksdagen.</w:t>
        <w:br/>
        <w:br/>
        <w:t xml:space="preserve">Jag tillåter mig hemställa om avslag på utskottets förslag och bifall till den i ämnet väckta motionen, d. v. s. att riksdagen i anledning av förevarande motion II: 61 må medgiva, att avlidne förrådsbiträdet Karl Wilhelm Rudbergs </w:t>
      </w:r>
      <w:r>
        <w:rPr>
          <w:b/>
        </w:rPr>
        <w:t>änka²</w:t>
      </w:r>
      <w:r>
        <w:rPr>
          <w:b w:val="0"/>
        </w:rPr>
        <w:t xml:space="preserve"> Anna Rudberg, född Olsson, må från och med den 1 januari 1919 under sin återstående livstid, så länge </w:t>
      </w:r>
      <w:r>
        <w:rPr>
          <w:b/>
        </w:rPr>
        <w:t>hon²</w:t>
      </w:r>
      <w:r>
        <w:rPr>
          <w:b w:val="0"/>
        </w:rPr>
        <w:t xml:space="preserve"> förbliver i sitt nuvarande </w:t>
      </w:r>
      <w:r>
        <w:rPr>
          <w:b/>
        </w:rPr>
        <w:t>änkestånd²</w:t>
      </w:r>
      <w:r>
        <w:rPr>
          <w:b w:val="0"/>
        </w:rPr>
        <w:t>, å allmänna indragningsstaten uppbära ett årligt understöd av tre hundra kronor.</w:t>
      </w:r>
    </w:p>
    <w:p>
      <w:pPr>
        <w:pStyle w:val="Heading2"/>
      </w:pPr>
      <w:r>
        <w:t>2. Oscar Bogren (Liberala samlingspartiet, man)</w:t>
      </w:r>
    </w:p>
    <w:p>
      <w:r>
        <w:rPr>
          <w:b w:val="0"/>
        </w:rPr>
        <w:t>Herr talman! Då utskottet icke ansett sig i denna punkt kunna tillstyrka den avgivna motionen, så har detta skett av skäl, som jag hoppas motionären mycket väl förstår. Motionären vet alltför väl, att hela denna kår av före detta stamanställda och daglönare vid flottan beklagligt nog saknar pensionsrätt. Det var för några år sedan starkt på tal att vidtaga åtgärder för att åtminstone de stamanstäl!lda vid marinen skulle beredas pensionsmöjligheter. Men den då sittande regeringen upptog icke förslaget, och det blev därför inga åtgärder av.</w:t>
        <w:br/>
        <w:br/>
        <w:t xml:space="preserve">Denna daglönarkår rekryteras i allmänhet från förut stamanställda vid flottan, och denna tjänstgöring vid varvets daglönarkår anses såsom ett slags pensionering av förut stamanställda. Men då nu en sådan daglönare som den här ifrågavarande faller ifrån och lämnar </w:t>
      </w:r>
      <w:r>
        <w:rPr>
          <w:b/>
        </w:rPr>
        <w:t>änka²</w:t>
      </w:r>
      <w:r>
        <w:rPr>
          <w:b w:val="0"/>
        </w:rPr>
        <w:t xml:space="preserve"> och barn efter sig, sakna dessa varje rätt till gratial ur flottans pensionskassa.</w:t>
        <w:br/>
        <w:br/>
        <w:t>Jag är säker på, att herr Leander i Karlskrona har ett stort antal personer i samma situation som denna, men ingen enda åtnjuter</w:t>
        <w:br/>
        <w:br/>
        <w:t xml:space="preserve">statspension. Då denna </w:t>
      </w:r>
      <w:r>
        <w:rPr>
          <w:b/>
        </w:rPr>
        <w:t>änka²</w:t>
      </w:r>
      <w:r>
        <w:rPr>
          <w:b w:val="0"/>
        </w:rPr>
        <w:t xml:space="preserve"> tillhör en så stor kår och riksdagen ännu</w:t>
        <w:br/>
        <w:br/>
        <w:t xml:space="preserve">icke har gått i författning om att lämna </w:t>
      </w:r>
      <w:r>
        <w:rPr>
          <w:b/>
        </w:rPr>
        <w:t>änkepension²</w:t>
      </w:r>
      <w:r>
        <w:rPr>
          <w:b w:val="0"/>
        </w:rPr>
        <w:t xml:space="preserve"> till denna kårs</w:t>
        <w:br/>
        <w:br/>
        <w:t>efterlevande, så har utskottet icke tilltrott sig att här tillstyrka bifall</w:t>
        <w:br/>
        <w:br/>
        <w:t>till motionen, vilket skulle medföra vittgående prejudicerande följder. Jag ber, herr talman, att få yrka bifall till utskottets förslag.</w:t>
      </w:r>
    </w:p>
    <w:p>
      <w:pPr>
        <w:pStyle w:val="Heading2"/>
      </w:pPr>
      <w:r>
        <w:t>3. Helge Bäcklund (Socialdemokraterna, man)</w:t>
      </w:r>
    </w:p>
    <w:p>
      <w:r>
        <w:rPr>
          <w:b w:val="0"/>
        </w:rPr>
        <w:t>Herr talman, mina herrar! Jag vill endast påminna om, att riksdagen i år bifallit en motion av herr Bärg 1 Katrineholm, där det gällde beviljandet av pension till tretton änkor efter arbetare, som varit anställda vid Karl Gustafs stads gevärsfaktori. Där har utskottet tillstyrkt och riksdagen beviljat de pensioner och understöd, det var fråga om. Det är icke annorlunda i det här fallet utan precis likadant. Det här fallet råkar vara i Karlskrona, och de andra f. d. befattningshavarnas änkor funnos i Eskilstuna. Jag är av den uppfattningen, att detta förhållande väl icke bör hava någon betydelse. Då man kan bevilja dylikt understöd i det ena fallet, då det gäller tretton änkor, borde man också kunna göra det i det här fallet, vilket ligger absolut lika klart för bifall som det av mig nu anförda gjorde.</w:t>
        <w:br/>
        <w:br/>
        <w:t>Jag ber av den anledningen, herr talman, få yrka bifall till det av herr Borggren framställda yrkandet. SE: |</w:t>
      </w:r>
    </w:p>
    <w:p>
      <w:pPr>
        <w:pStyle w:val="Heading2"/>
      </w:pPr>
      <w:r>
        <w:t>4. Ulrik Leander (Frisinnade folkpartiet, man)</w:t>
      </w:r>
    </w:p>
    <w:p>
      <w:r>
        <w:rPr>
          <w:b w:val="0"/>
        </w:rPr>
        <w:t>Herr talman! Det må tacksamt erkännas, att bankoutskottet med stor välvilja brukar behandla framställningar om understöd åt änkor och barn. Så mycket mera oförklarligt är det, att utskottet just avstyrkt denna motion, som jag här framlagt. Utskottet har låtit påverka sig av direktionens över flottans pensionskassa 1 Karlskrona yttrande. Denna direktion är känd för att vara mycket försiktig, då det gäller att föreslå pensioner, och många anse, att denna direktion till och med är en mycket byråkratisk inrättning. Därom skall jag emeilertid icke yttra mig.</w:t>
        <w:br/>
        <w:br/>
        <w:t xml:space="preserve">Det har förut framhållits av de ärade reservanterna, att i punkt 7 av detta utlåtande föreligger ett fall, som är fullt analogt med detta. Mannen till den </w:t>
      </w:r>
      <w:r>
        <w:rPr>
          <w:b/>
        </w:rPr>
        <w:t>änka²</w:t>
      </w:r>
      <w:r>
        <w:rPr>
          <w:b w:val="0"/>
        </w:rPr>
        <w:t xml:space="preserve">, som där beviljades pension, var några år artillerist vid Smålands artilleriregemente, och därefter blev han skomakare vid regementet och hade som sådan timavlöning, så att man kunde kalla honom för timlönare. Mannen till den </w:t>
      </w:r>
      <w:r>
        <w:rPr>
          <w:b/>
        </w:rPr>
        <w:t>änka²</w:t>
      </w:r>
      <w:r>
        <w:rPr>
          <w:b w:val="0"/>
        </w:rPr>
        <w:t xml:space="preserve">, rörande vilken jag hemställer om pension, var också under några år artillerist vid Karlskrona kustartilleriregemente; sedan blev han förrådsbiträde. Det är därför mycket svårt att förstå, vari skillnaden skulle bestå. Jag vet icke, om det vällovliga skomakarämbetet inverkat så mycket därpå eller om utskottet haft så mycken respekt för detta, att utskottet ansett, att en </w:t>
      </w:r>
      <w:r>
        <w:rPr>
          <w:b/>
        </w:rPr>
        <w:t>änka²</w:t>
      </w:r>
      <w:r>
        <w:rPr>
          <w:b w:val="0"/>
        </w:rPr>
        <w:t xml:space="preserve"> efter en skomakare bör hava pension, men icke en </w:t>
      </w:r>
      <w:r>
        <w:rPr>
          <w:b/>
        </w:rPr>
        <w:t>änka²</w:t>
      </w:r>
      <w:r>
        <w:rPr>
          <w:b w:val="0"/>
        </w:rPr>
        <w:t xml:space="preserve"> efter ett förrådsbiträde.</w:t>
        <w:br/>
        <w:br/>
        <w:t xml:space="preserve">Nu nämnde herr Bogren, att det funnes många andra änkor, som då skulle komma med framställningar om pension. Jag vill endast säga, att här är det nu endast. fråga om </w:t>
      </w:r>
      <w:r>
        <w:rPr>
          <w:b/>
        </w:rPr>
        <w:t>änkan²</w:t>
      </w:r>
      <w:r>
        <w:rPr>
          <w:b w:val="0"/>
        </w:rPr>
        <w:t xml:space="preserve"> Rudberg och ingen annan, och när de andra änkorna komma, få vi väl lov att expediera deras framställningar, men här behöva vi icke tänka på någon annan än </w:t>
      </w:r>
      <w:r>
        <w:rPr>
          <w:b/>
        </w:rPr>
        <w:t>änkan²</w:t>
      </w:r>
      <w:r>
        <w:rPr>
          <w:b w:val="0"/>
        </w:rPr>
        <w:t xml:space="preserve"> Rudberg.</w:t>
        <w:br/>
        <w:br/>
        <w:t xml:space="preserve">För att icke bli långvarig vid denna sena timme vill jag endast uttala min förhoppning om, att kammaren skall fasthålla vid sina traditioner att bisträcka änkor och faderlösa barn och även bifalla denna lilla pension till </w:t>
      </w:r>
      <w:r>
        <w:rPr>
          <w:b/>
        </w:rPr>
        <w:t>änkan²</w:t>
      </w:r>
      <w:r>
        <w:rPr>
          <w:b w:val="0"/>
        </w:rPr>
        <w:t xml:space="preserve"> Rudberg, som det är fråga om. Det är 300 kronor, så det kan icke bliva alltför betungande för statskassan.</w:t>
        <w:br/>
        <w:br/>
        <w:t>Jag ber, herr talman, att få förena mig i det yrkande, som framställdes av herr Borggren.</w:t>
      </w:r>
    </w:p>
    <w:p>
      <w:pPr>
        <w:pStyle w:val="Heading2"/>
      </w:pPr>
      <w:r>
        <w:t>5. Oscar Bogren (Liberala samlingspartiet, man)</w:t>
      </w:r>
    </w:p>
    <w:p>
      <w:r>
        <w:rPr>
          <w:b w:val="0"/>
        </w:rPr>
        <w:t>Jag vill fästa kammarens uppmärksamhet på den väsentliga skillnad, som föreligger mellan änkorna efter dessa</w:t>
        <w:br/>
        <w:br/>
        <w:t>tygarbetare vid Karl Gustafs stads gevärsfaktori i Eskilstuna och den</w:t>
        <w:br/>
        <w:br/>
        <w:t xml:space="preserve">här ifrågavarande. Dessa tygarbetare hava i en följd av år tillerkänts pension av riksdagen. Dessa änkors män hade således varit berättigade och en del av dem hade uppburit pension, men beklagligt nog hade dessa tygarbetare ingen </w:t>
      </w:r>
      <w:r>
        <w:rPr>
          <w:b/>
        </w:rPr>
        <w:t>änkeoch²</w:t>
      </w:r>
      <w:r>
        <w:rPr>
          <w:b w:val="0"/>
        </w:rPr>
        <w:t xml:space="preserve"> pupillkassa. Riksdagen brukar dock numera tillämpa den regeln, att om mannen varit berättigad till pension och dör, har riksdagen tillerkänt </w:t>
      </w:r>
      <w:r>
        <w:rPr>
          <w:b/>
        </w:rPr>
        <w:t>änkan²</w:t>
      </w:r>
      <w:r>
        <w:rPr>
          <w:b w:val="0"/>
        </w:rPr>
        <w:t xml:space="preserve">, ifall </w:t>
      </w:r>
      <w:r>
        <w:rPr>
          <w:b/>
        </w:rPr>
        <w:t>hon²</w:t>
      </w:r>
      <w:r>
        <w:rPr>
          <w:b w:val="0"/>
        </w:rPr>
        <w:t xml:space="preserve"> är i mycket behövande omständigheter, ett litet underhåll. Vad herr Leanders skomakare beträffar, så torde herr Leander som gammal riksdagsman hava klart för sig, att samtliga hantverkare anställda i statens tjänst också uppbära pension liksom tygarbetarna vid faktorierna, alltså står man här i precis samma ställning som beträffande de tretton änkorna från Eskilstuna, men varken reservanterna eller motionären ha ännu kunnat angiva ett enda exempel på, att en </w:t>
      </w:r>
      <w:r>
        <w:rPr>
          <w:b/>
        </w:rPr>
        <w:t>änka²</w:t>
      </w:r>
      <w:r>
        <w:rPr>
          <w:b w:val="0"/>
        </w:rPr>
        <w:t xml:space="preserve"> efter en daglönare än mindre efter en stamanställd har tillerkänts pension. Väl har denna </w:t>
      </w:r>
      <w:r>
        <w:rPr>
          <w:b/>
        </w:rPr>
        <w:t>änka²</w:t>
      </w:r>
      <w:r>
        <w:rPr>
          <w:b w:val="0"/>
        </w:rPr>
        <w:t xml:space="preserve"> av barmhärtighetsskäl fått ett och annat litet understöd, och det är ju mycket roligt och gott att så skett, och det skulle vara synnerligen behjärtansvärt, att statsmakterna snarast möjligt kunde träda i författning om att sörja för att samtliga deras i statens tjänst anställda arbetare, de må vara i vilken bransch som helst, bli tillförsäkrade pension samt rätt till familjepension. Det bör dock icke gå för herr Leander att komma med denna </w:t>
      </w:r>
      <w:r>
        <w:rPr>
          <w:b/>
        </w:rPr>
        <w:t>änka²</w:t>
      </w:r>
      <w:r>
        <w:rPr>
          <w:b w:val="0"/>
        </w:rPr>
        <w:t xml:space="preserve"> i år och så komma nästa år med en hel massa, fastän han är så försiktig, att han presenterar endast en 1 år. Jag vidhåller, herr talman, mitt yrkande.</w:t>
        <w:br/>
        <w:br/>
      </w:r>
      <w:r>
        <w:rPr>
          <w:b/>
        </w:rPr>
        <w:t>änka²</w:t>
      </w:r>
      <w:r>
        <w:rPr>
          <w:b w:val="0"/>
        </w:rPr>
        <w:t xml:space="preserve"> fått pension, så fordrar konsekvensen, att den andres </w:t>
      </w:r>
      <w:r>
        <w:rPr>
          <w:b/>
        </w:rPr>
        <w:t>änka²</w:t>
      </w:r>
      <w:r>
        <w:rPr>
          <w:b w:val="0"/>
        </w:rPr>
        <w:t xml:space="preserve"> också skall hava sådan. s Jag ber, herr taman, att få vidhålla mitt yrkande.</w:t>
      </w:r>
    </w:p>
    <w:p>
      <w:pPr>
        <w:pStyle w:val="Heading2"/>
      </w:pPr>
      <w:r>
        <w:t>6. Emil Kristensson (Socialdemokraterna, man)</w:t>
      </w:r>
    </w:p>
    <w:p>
      <w:r>
        <w:rPr>
          <w:b w:val="0"/>
        </w:rPr>
        <w:t xml:space="preserve">Herr talman! Jag har icke deltagit i detta ärendes behandling i utskottet. Då herr Leander vill göra gällande, att det är precis samma förhållande i denna fråga som vid den punkt kammaren nyss beslutade, så vill jag erinra om att då det var fråga om </w:t>
      </w:r>
      <w:r>
        <w:rPr>
          <w:b/>
        </w:rPr>
        <w:t>änkan²</w:t>
      </w:r>
      <w:r>
        <w:rPr>
          <w:b w:val="0"/>
        </w:rPr>
        <w:t xml:space="preserve"> efter skomakare Andersson, det förelåg den icke oväsentliga skillnaden, att i förra fallet, då kammaren beviljade pension åt</w:t>
        <w:br/>
        <w:br/>
      </w:r>
      <w:r>
        <w:rPr>
          <w:b/>
        </w:rPr>
        <w:t>änkan²</w:t>
      </w:r>
      <w:r>
        <w:rPr>
          <w:b w:val="0"/>
        </w:rPr>
        <w:t xml:space="preserve"> Andersson, förelågo sådana förhållanden, att det var antagligt</w:t>
        <w:br/>
        <w:br/>
        <w:t xml:space="preserve">att mannen ådragit sig sjukdom i tjänsten. Utskottet har hittills följt den principen att i dylika fall, då familjepension icke finnes, utskottet brukar tillstyrka i alla de fall, då det kan antagas, att mannen i statens tjänst ådragit sig den sjukdom, som kan hava föranlett dödsfallet. Och även om det icke varit tillräckligt styrkt, att han fått den i tjänsten, men det ändock varit antagligt att så skett, har utskottet brukat tillstyrka pension. Jag har ingenting emot, att denna </w:t>
      </w:r>
      <w:r>
        <w:rPr>
          <w:b/>
        </w:rPr>
        <w:t>änka²</w:t>
      </w:r>
      <w:r>
        <w:rPr>
          <w:b w:val="0"/>
        </w:rPr>
        <w:t xml:space="preserve"> får pension, men jag vill säga ifrån, att utskottets majoritet ställt sig på en principiellt riktig ståndpunkt. Motionärens framställning går ut på en högre pension än som för närvarande utgår till underofficerare, som hela sitt liv fått inbetala pensionsavgifter själva, och ett bifall till motionärens framstälming 1 detta fall måste enligt mitt förmenande leda till, att utskottet då, om det skulle följa kammaren, bir tvunget att tillstyrka varenda </w:t>
      </w:r>
      <w:r>
        <w:rPr>
          <w:b/>
        </w:rPr>
        <w:t>änkepension²</w:t>
      </w:r>
      <w:r>
        <w:rPr>
          <w:b w:val="0"/>
        </w:rPr>
        <w:t>, varom fråga väckes här i kammaren.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1438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