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1441</w:t>
      </w:r>
    </w:p>
    <w:p>
      <w:r>
        <w:rPr>
          <w:b/>
        </w:rPr>
        <w:t xml:space="preserve">Datum: </w:t>
      </w:r>
      <w:r>
        <w:t>1919-05-24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Vennerström (Socialdemokraterna, man)</w:t>
      </w:r>
    </w:p>
    <w:p>
      <w:r>
        <w:rPr>
          <w:b w:val="0"/>
        </w:rPr>
        <w:t>Herr talman, mina herrar! Vid urtima riksdagen var denna fråga föremål för en synnerligen ingående principdebatt från talesmännen för de olika partierna. Då vi nu stå inför ett konsekvensbeslut — det gäller endast att fullfölja vad vi då påbörjade — kan det vara skäligen onödigt att än en gång ingå på en utförlig principiell klarläggning av innebörden 1 det vid urtima riksdagen fattade beslutet. Jag vill därför nöja mig med att vid detta tillfälle understryka det väsentliga i den tankegång, som från min sida såsom talesman för den socialdemokratiska vänstern vid urtiman fördes i denna fråga.</w:t>
        <w:br/>
        <w:br/>
        <w:t>Det har från många håll anförts, att aldrig någonsin av Sveriges riksdag fattats något belut av en så viktig innebörd, men på samma gång under så torftiga och så litet imponerande former som vad nu är fallet. Jag tror, att man kan understryka den tankegången, som särskilt framförts från det parti, vars talan närmast föres av herr Gustav Möller, men jag undrar, om icke anledningen härtill kan i många fall bero på karaktären av de beslut, som riksdagen fattat och till vilkas fattande vi i denna stund gå.</w:t>
        <w:br/>
        <w:br/>
        <w:t>Den kompromiss, som kommit till stånd, innefattar i vissa fall avsevärda reformer, men ock i vissa fall synnerligen avsevärda brister. Herr Möller yttrade nyss, att man genom den reform, som antagits och som skall antagas, jordat ett flertal av förutvarande avsevärda lyten och brister inom svenska samhällslivet. Det</w:t>
        <w:br/>
        <w:br/>
        <w:t>är förvisso riktigt, men på samma gång — och däri ligger förklaringsgrunden till, att svenska folket tager denna lösning utan någon stämning och utan någon glädje — är sanningen den, att</w:t>
        <w:br/>
        <w:br/>
        <w:t>man behåller en mängd brister, som bort röjas undan, och, än mer, skapar nya brister, som icke funnos i den gamla lagen. Jag syftar särskilt på höjningen av åldersgränsen vid kommunala val från förut gällande 21 år till för landstingsmannaval 27 år.</w:t>
        <w:br/>
        <w:br/>
        <w:t xml:space="preserve">Det är till och med påfallande, att den del av svenska folket som skulle med större glädje hälsa dagens lösning av dessa gamla frågor — slutet av denna kamp, som från deras sida förts — nämligen Sveriges </w:t>
      </w:r>
      <w:r>
        <w:rPr>
          <w:b/>
        </w:rPr>
        <w:t>kvinnor¹</w:t>
      </w:r>
      <w:r>
        <w:rPr>
          <w:b w:val="0"/>
        </w:rPr>
        <w:t xml:space="preserve">, hälsa icke denna dag med den glädje, som man sannerligen hade kunnat vänta efter de många och långa årens kamp. Vi ha väl förklaringsgrunden därtill i den omständigheten, att man icke tagit den </w:t>
      </w:r>
      <w:r>
        <w:rPr>
          <w:b/>
        </w:rPr>
        <w:t>kvinnliga¹</w:t>
      </w:r>
      <w:r>
        <w:rPr>
          <w:b w:val="0"/>
        </w:rPr>
        <w:t xml:space="preserve"> rösträtten såsom en naturlig eftergift åt ett självklart rättfärdighetskrav. Man har behandlat</w:t>
        <w:br/>
        <w:br/>
      </w:r>
      <w:r>
        <w:rPr>
          <w:b/>
        </w:rPr>
        <w:t>kvinnornas¹</w:t>
      </w:r>
      <w:r>
        <w:rPr>
          <w:b w:val="0"/>
        </w:rPr>
        <w:t xml:space="preserve"> rösträttsfråga såsom en spekulationsvara på konjunk-</w:t>
        <w:br/>
        <w:br/>
        <w:t>turpolitikens börs. Och då herr Möller nyss sade, att man från hans bändringar i</w:t>
        <w:br/>
        <w:br/>
        <w:t xml:space="preserve">partis sida jämt och ständigt fört det talet till torgs, att alla böra tillerkännas samma rätt i samhället, män som </w:t>
      </w:r>
      <w:r>
        <w:rPr>
          <w:b/>
        </w:rPr>
        <w:t>kvinnor¹</w:t>
      </w:r>
      <w:r>
        <w:rPr>
          <w:b w:val="0"/>
        </w:rPr>
        <w:t xml:space="preserve">, bör det i sanningens intresse konstateras, att socialdemokrater liksom liberaler vid vissa tillfällen även skattat åt den synpunkten, att </w:t>
      </w:r>
      <w:r>
        <w:rPr>
          <w:b/>
        </w:rPr>
        <w:t>kvinnornas¹</w:t>
      </w:r>
      <w:r>
        <w:rPr>
          <w:b w:val="0"/>
        </w:rPr>
        <w:t xml:space="preserve"> rättfärdighetsfråga bör handläggas såsom en konjunkturvara. Jag syftar på den senaste stora rösträttsfrågans lösning, som kom till stånd genom den Lindmanska reformen. Vid det tillfället framförde både herr Staaff och herr Branting avböjande synpunkter, när det gällde att frågan om </w:t>
      </w:r>
      <w:r>
        <w:rPr>
          <w:b/>
        </w:rPr>
        <w:t>kvinnans¹</w:t>
      </w:r>
      <w:r>
        <w:rPr>
          <w:b w:val="0"/>
        </w:rPr>
        <w:t xml:space="preserve"> rösträtt den gången skulle tagas med. Man ville skjuta undan densamma, och man kunde göra det ur den synpunkten att man ansåg tiden icke lämplig att lösa denna sociala rättfärdighetsfråga.</w:t>
        <w:br/>
        <w:br/>
        <w:t xml:space="preserve">När vi sedan komma till vår svenska höger, som väl ändå, Gud ske lov, börjar sjunga på sista versen, — ehuru det synes, att högern i första kammaren i sista minuten sjunger väl högt i vissa frågor — vill jag fastslå, att när urtiman gick att fatta sitt beslut, förbehöll sig högern fria händer att formulera villkoren för en övergång till </w:t>
      </w:r>
      <w:r>
        <w:rPr>
          <w:b/>
        </w:rPr>
        <w:t>kvinnans¹</w:t>
      </w:r>
      <w:r>
        <w:rPr>
          <w:b w:val="0"/>
        </w:rPr>
        <w:t xml:space="preserve"> rösträtt, som i princip erkändes, ungefär hur som hälst. Högern erkände alltså icke rättfärdighetstanken. Återigen konjunktursynpunkter! När vi började behandlingen av denna fråga i utskottet, började högern att spela på den strängen: vi skola bestämma högre älder för </w:t>
      </w:r>
      <w:r>
        <w:rPr>
          <w:b/>
        </w:rPr>
        <w:t>kvinnorna¹</w:t>
      </w:r>
      <w:r>
        <w:rPr>
          <w:b w:val="0"/>
        </w:rPr>
        <w:t xml:space="preserve"> än för männen och sedan så småningom sänka den undan för undan för att slutligen komma fram till samma åldersgräns. Högern föll slutligen undan. Vi ha ett enigt utskottsbetänkande på denna punkt, men högern föll säkerligen icke undan av hänsyn till rätts-</w:t>
        <w:br/>
        <w:br/>
        <w:t xml:space="preserve">ravet, men av hänsyn till den erfarenhet, högern hade, nämligen att </w:t>
      </w:r>
      <w:r>
        <w:rPr>
          <w:b/>
        </w:rPr>
        <w:t>kvinnans¹</w:t>
      </w:r>
      <w:r>
        <w:rPr>
          <w:b w:val="0"/>
        </w:rPr>
        <w:t xml:space="preserve"> rösträtt — kommunalt sett — icke verkade mot högern, utan gagnade högern i dess kamp vid landstingsoch stadsfullmäktigevalen. :</w:t>
        <w:br/>
        <w:br/>
        <w:t xml:space="preserve">Det har i utskottets betänkande icke fällts några förhoppningens ord vid talet om den verkan på samhället, som en lösning av </w:t>
      </w:r>
      <w:r>
        <w:rPr>
          <w:b/>
        </w:rPr>
        <w:t>kvinnans¹</w:t>
      </w:r>
      <w:r>
        <w:rPr>
          <w:b w:val="0"/>
        </w:rPr>
        <w:t xml:space="preserve"> rösträttsfråga har. Herr Lindhagen har motionerat om, att man skulle i motiveringen uttala den vackra förhoppningen att erkännandet av rösträtt åt </w:t>
      </w:r>
      <w:r>
        <w:rPr>
          <w:b/>
        </w:rPr>
        <w:t>kvinnorna¹</w:t>
      </w:r>
      <w:r>
        <w:rPr>
          <w:b w:val="0"/>
        </w:rPr>
        <w:t xml:space="preserve"> skulle innebära förhoppning om, att humanitetens och fredens tankar skulle vara ledstjärnan för Sveriges samhällskamp 1 kommande tider på grund av det nya incitamentet i vårt sociala framstegsarbete. Författningsutskottet liksom övriga utskott är icke så synnerligen lyriskt och poetiskt av sig, och mån kan därför förstå, att det icke velat vara med om herr Lindhagens vackra förhoppning. Det kan synas djärvt att i utskottsbetänkandet infoga en sådan vacker lyrisk blomma, men då socialdemokraten klagat över, att betänkandet är torftigt må man dock lägga den blomman i detta betänkande, som för övrigt har karaktäriserats för torftighet rent formellt sett.</w:t>
        <w:br/>
        <w:br/>
        <w:t>Jag vill vidare uttala ytterligare en förhoppning till, nämligen att man från ingen sida inom den svenska dömglogtin skall</w:t>
        <w:br/>
        <w:br/>
        <w:t>betrakta en lösning, om vilken berr Möller talat, såsom en verklig lösning d. v. s. säsom ett slags självändamål. Man bör betrakta den lösningen såsom ett arbetsinstrument, med vilket man för det första skall fullfölja den fullständiga politiska omorganisation, den follständiga politiska demokrati, som man ännu icke lyckats få till stånd. Vi böra med det instrumentet från den svenska demokratiens sida gå vidare fram till undanröjande av alla de gamla politiska orättvisorna. Man bör därmed nå fram till att låta svenska folket genom folkomröstningen och initiativ få rätt att i stora frågor självt fälla votum, så att icke de stora frågorna enbart skola lösas genom Sveriges riksdag, utan även lösas direkt genom hela svenska folkets votum. Sedan bör vidare detta instrument även användas till att genomföra från den svenska demokratiens sida den sociala och ekonomiska demokrati, som är nödvändig, om vi skola erhålla den lugna samhällsutveckling, om vilken herr Möller förvisso med fullt fog talat. Det är bekant, att även i den allmänna rösträttens länder kunna de ekonomiska orättvisorna, den privatkapitalistiska utsugningen, ha samma starka rotfäste som inom andra länder med mindre politisk demokrati. Skulle man kunna få en sådan framtid, som besannade herr Möllers ord om en lugn samhällsomdaning, måste man använda den politiska demokratien för att få den sociala och ekonomiska demokrati, som enbart är i stånd att skapa den realdemokrati, som skall ersätta den formaldemokrati, under vilken man i denna stund lever inom nästan varje land. Jag vill här anknyta till herr Möllers synpunkter genom att hänvisa till det för alla välbekanta faktum, att parlamentarismen på de gamla parlamentariska vägarna i denna stund har synnerligen liten anklang inom breda arbetarmassor inom nästan varje land. Av det skälet, att man alltså frän deras sida, som känna den verkliga tungan av det orättfärdiga ekonomiska sambhällsskicket, vill slita sig loss från de gamla parlamentariska vägarna, borde det vara en plikt ur självbevarelsesynpunkt för alla på den andra sidan att begagna den omdanade parlamentarismen för att genomföra just den sociala rättvisa, den ekonomiska rättfärdighet efter socialismens grundlinjer, utan vilken de stora breda folklagren kanhända helt komma att slita sig loss från gamla, fredliga och lugna farvägar.</w:t>
        <w:br/>
        <w:br/>
        <w:t>Jag kommer efter denna allmänna utläggning från mina synpunkter sett, med förbigående av de olika sidorna i min reservation, fram till 8 6 i riksdagsordningen, där jag tillåter mig yrka bifall till den av herr Per Albin Hansson vid denna punkt framställda motionen. Det har redan från herr Petterssons i Bjälbo och herr Möllers sida talats om det faktum, att man här vill ha inskrivit i grundlagen, att valrättsåldern vid elektorsval skall vara 27 år. Som herr Möller yttrade, finns det icke någon logisk grundval bakom ett sådant yrkande, att 27-årsåldern vid val till landsting skall inskrivas i allmän lag, nämligen i landstingsförordningen, men däremot 27-årsåldern vid elektorsval inskrivas i grundlagen. Man har på denna punkt att konstatera, hurusom den före-</w:t>
        <w:br/>
        <w:br/>
        <w:t>lagda kompromissen åtminstone i ett avseende är synnerligen illa genomtänkt. Det är här den oformligheten, att man skall kunna undanrödja den förhatliga 27-årsåldern för val till landsting enbart genom beslut av en enda riksdag, men de 27 åren i fråga om elektorsvalen skola kunna undanrödjas först genom beslut av tvenne riksdagar med mellanliggande nyval. I fråga om landstingsmannavalen skall man alltså, då det gäller flertalet av valmännen, ha de 27 åren inskrivna i allmän lag, men i fråga om elektorsförsamlingarna, vilka såsom herr Möller nämnt, endast omfatta ett fåtal av valmännen, skola de 27 åren vara inskrivna i grundlagen. Aven utskottet självt har i denna punkt erkänt, att det icke finns något logiskt sammanhang, utan att det riktiga vore att erhålla en enhetlig lagstiftning, som likformigt reglerade denna inskrivning av de 27 åren i lagen.</w:t>
        <w:br/>
        <w:br/>
        <w:t>Herr Hansson har i sin motion yrkat på, att i riksdagsordningen $ 6 mom. 8 skulle inskrivas, att närmare bestämmelser om elektorsvalen meddelas i vallagen. Härmed har man ernått enhetlighet, så att de 27 åren skola inskrivas enbart i allmän lag men icke på någon punkt i grundlagen.</w:t>
        <w:br/>
        <w:br/>
        <w:t>Går man alltså här konsekvent till väga, ställer man sig på samma gång på den historiska grundval, som väl åtminstone den svenska högerns talesmän för historiens kontinuitet borde kunna erkänna. Man anknyter nämligen i så fall lagstiftningen till förut gällande praxis på detta område. Allt sedan den nya rikedagsordningen kom till, har man, som bekant, icke haft nägra bestämmelser om val till första kammaren genom landsting inskrivna i grundlagen, utan enbart i allmän lag. Vad som kunnat gälla till dags dato utan någon risk och fara, borde man väl erkänna kunna gälla även i fortsättningen. Jag vill i det fallet vädja till de herrar högermän, som jämt och ständigt, såsom jag nämnde, föra talan för historiens eget sammanhang, huruvida de icke skulle kunna erkänna, att vad som förut icke inneburit någon fara även borde kunna utan någon risk bibehållas för framtiden.</w:t>
        <w:br/>
        <w:br/>
        <w:t>Det har från herr Petterssons i Bjälbo sida talats om lojalitet och illojalitet. Den saken har också förts på tal inom utskottet, och jag vill därvidlag för min del yrka bifall till herr Hanssons motion under ett energiskt tillbakavisande på varje punkt av, att något utav detta tal om illojalitet skulle kunna drabba åtminstone undertecknad. Jag vill för det första säga, att, då urtima riksdagen behandlade denna fråga, gled man nästan fullständigt förbi varje tal om de 27 årens inskrivande i grundlagen. I det utkast till den första kompromissen, som kom från det särskilda utskottet i fjol, var denna fråga om de 27 åren i grundlagen icke alls omnämnd. Jag kan vidare bestämt påstå — och däri måste nog alla med mig då närvarande instämma — att man aldrig i plenum en enda gång i fjol behandlade frågan om de 27 årens inskrivande i grundlagen. Den saken var måhända på tal i de inre cirklarna, inom fyramannadelegationen, där man löste frågan, men</w:t>
        <w:br/>
        <w:br/>
        <w:t>i utskottet i plenum var den frågan aldrig på tal, utan man gled fullständigt förbi densamma.</w:t>
        <w:br/>
        <w:br/>
        <w:t>Jag vill ytterligare för eget vidkommande säga, att jag reserverat mig mot uppgörelsen vid urtima riksdagen och förbehållit mig fullständigt fria händer, och, då jag alltså här har fria händer, vill jag i denna punkt, vad det gäller $ 6 riksdagsordningen, yrka bifall till den av herr Hansson i ärendet väckta motionen.</w:t>
      </w:r>
    </w:p>
    <w:p>
      <w:pPr>
        <w:pStyle w:val="Heading2"/>
      </w:pPr>
      <w:r>
        <w:t>2. Sven Bengtsson (Folkpartiet, man)</w:t>
      </w:r>
    </w:p>
    <w:p>
      <w:r>
        <w:rPr>
          <w:b w:val="0"/>
        </w:rPr>
        <w:t>Herr talman! Under den debatt, som nu pågår, blir det väl endast tillfälle för de olika partierna att med några få ord konstatera, att man är redo att infria de löften som gavs under urtima riksdagen. Inom utskottet stå de två vänsterpartierna eniga bakom utskottets förslag, och de reservationer, som äro avgivna, får man nog betrakta mera som demonstrationer än som verkliga krav på att få ändringar genomförda, åtminstone för närvarande.</w:t>
        <w:br/>
        <w:br/>
        <w:t xml:space="preserve">Det stora i det föreliggande utskottsbetänkandet är, att </w:t>
      </w:r>
      <w:r>
        <w:rPr>
          <w:b/>
        </w:rPr>
        <w:t>kvinnan¹</w:t>
      </w:r>
      <w:r>
        <w:rPr>
          <w:b w:val="0"/>
        </w:rPr>
        <w:t xml:space="preserve"> nu får sig tillerkänd sin politiska rösträtt, och det är blott en 'gärd av rättvisa, som riksdagen nu äntligen giver </w:t>
      </w:r>
      <w:r>
        <w:rPr>
          <w:b/>
        </w:rPr>
        <w:t>kvinnan¹</w:t>
      </w:r>
      <w:r>
        <w:rPr>
          <w:b w:val="0"/>
        </w:rPr>
        <w:t xml:space="preserve">, och </w:t>
      </w:r>
      <w:r>
        <w:rPr>
          <w:b/>
        </w:rPr>
        <w:t>hon²</w:t>
      </w:r>
      <w:r>
        <w:rPr>
          <w:b w:val="0"/>
        </w:rPr>
        <w:t xml:space="preserve"> får nu medbestämmanderätt i samhället lika med mannen.</w:t>
        <w:br/>
        <w:br/>
        <w:t>De reservationer, som föreligga, skulle jag kanske ägna någon uppmärksamhet, men det skall endast bliva i fråga om ett par av dem, och jag kan därvid inskränka mig till några få ord.</w:t>
        <w:br/>
        <w:br/>
        <w:t>Det, som väckt det mesta motståndet från högerhåll, har varit förslaget om sättet för äkta makar att utöva rösträtt för varandra. Man har envist hållit fast vid, att därvid skulle användas fullmakter. Det enklaste och principiellt riktigaste hade varit, att all fullmaktsanvändning slopades. Men vi från landsbygden, ha måst ställa krav, att äkta makar skola få rättighet att rösta för varandra. Man har nämligen där en på erfarenhet grundad känsla av, att det icke är möjligt för landsbygdens befolkning, som bor långt från vallokalerna, att kunna använda sin rösträtt i den utsträckning som de kunna, vilka bo i större samhällen och nära vallokalerna. De borgerliga partierna skulle tvivelsutan i detta fall bliva lidande på denna reform, därest man icke ordnade det så, att äkta makar få rösta för varandra.</w:t>
        <w:br/>
        <w:br/>
        <w:t>Då vi från vänsterhåll icke kunnat gå med på fullmaktskravet, har det berott på den ovilja mot ett system, som allt mer och mer visat sina brister. Man har vid det ena valet efter det andra kommit underfund med, det osunda sätt, på vilket fullmakterna förvärvats som icke är att rekommendera. Fullmaktsrättigheten handhades, det senaste valtillfället, på ett sätt, som måste väcka antipati mot hela systemet. Redan Kungl. Maj:t har därför försökt finna en form för att äkta makar skulle få rösta för varandra på ett annat sätt än genom fullmakt. Med några förändringar har ju utskottet också ställt sig på den princip, som Kungl. Maj:t härvidlag framburit.</w:t>
        <w:br/>
        <w:br/>
        <w:t>Reservanterna ha i detta fall framhållit, att man icke har</w:t>
        <w:br/>
        <w:br/>
        <w:t>någon anledning att gå emot fullmaktsröstningen, ty man kan väl förutsätta att äkta makar ha förtroende för varandra. Ja, jag vet icke, om den anordning, som utskottet nu föreslagit, på något sätt kan rubba förtroendet mellan äkta makar. Jag kan ha det allra största förtroende för en person. som tillhör ett annat politiskt parti, och jag kan låta honom få erfara detta på många sätt, men gäller det att låta honom rösta i stället för mig, säger jag &gt;nej&gt;, han må vara min allra bäste vän. Då det gäller att utöva den politiska såväl som den kommunala rösträtten, bör denna rösträtt vara personlig och icke läggas i andras händer.</w:t>
        <w:br/>
        <w:br/>
        <w:t>Att ha kvar fullmaktsröstning, det är att ge en person rätt till två röster, och det kan väl icke vara riktigt, att somliga personer skola ha två röster. Därför har inom utskottet den meningen blivit förhärskande, att på det sätt, utskottet föreslagit, kan, även om makarna stå på olika politiska linjer, den ena maken rösta efter sin övertygelse och den andra efter sin, men de kunna i alla fall få rösta för varandra. Det kan icke vara tal om att härutinnan närmare gå in på detaljerna, ty det skulle bliva alltför omständigt.</w:t>
        <w:br/>
        <w:br/>
        <w:t>Den andra reservation, som jag riktar min uppmärksamhet på, har framförts av herr Pettersson i Bjälbo, med instämmanden av herrar Nilsson i Antnäs och Hedlund i Östersund, och gäller fattigvårdsstrecket. Jag förstår icke riktigt denna reservation. Den visar ju endast, att de envist hållas fast vid sin linje. Men om de skulle fullfölja sitt i reservationen förda resonemang, så skulle de enligt min uppfattning därvid komma till samma yrkande, som utskottet kommit till. De referera nämligen till urtima riksdagens beslut angående fattigvårdsstrecket, då några ledamöter reserverade sig mot utskottets föreliggande förslag. Riksdagen tog emellertid utskottets förslag och icke reservanternas. Nu hemställer emellertid herr Pettersson här »på grund av då anförda skäl och då motsvarighet bör äga rum beträffande den politiska rösträtten» om en annan lydelse av ifrågavarande moment eller om bifall till sin reservation. Skall det bliva motsvarighet emellan politisk rösträtt och kommunal rösträtt, finnes ingen annan väg att gå än den, utskottet här föreslagit. Och detta är konsekvensen av urtima riksdagens beslut. Därför borde enligt min mening herr Pettersson i Bjälbo, då han önskat motsvarighet på denna punkt, hava yrkat bifall till utskottets förslag och icke till sin reservation.</w:t>
        <w:br/>
        <w:br/>
        <w:t>Herr talman! Jag skall icke förlänga debatten, utan Jag skall med dessa ord be att för grundlagsenlig behandling få yrka bifall till den föredragna punkten enligt utskottets förslag.</w:t>
      </w:r>
    </w:p>
    <w:p>
      <w:pPr>
        <w:pStyle w:val="Heading2"/>
      </w:pPr>
      <w:r>
        <w:t>3. Eliel Löfgren (Folkpartiet, man)</w:t>
      </w:r>
    </w:p>
    <w:p>
      <w:r>
        <w:rPr>
          <w:b w:val="0"/>
        </w:rPr>
        <w:t>Herr talman, mina herrar! Då vi nu stå inför avgörandet av den stora författningsfrågan, så ber jag i korthet få ange regeringens ställning till å ena sidan utskottets förslag och å andra sidan också de reservationer som hava bilagts utskottets utlåtande.</w:t>
        <w:br/>
        <w:br/>
        <w:t>Till en början får jag med tillfredsställelse konstatera den</w:t>
        <w:br/>
        <w:br/>
        <w:t>allmänna anslutning, som inom utskottet ägt rum till Kungl. Maj:ts förslag, vars grundlinjer ju redan skisserats vid 1918 års urtima riksdag. Att partiernas förtroendemän inom utskottet nu i det stora hela ansett sig kunnat acceptera regeringens proposition visar, att denna har vunnit sitt huvudsakliga syfte, nämligen att på ett troget och riktigt sätt återge den uppgörelse i författningsfrågan, som i princip fattades vid 1918 års urtima riksdag. Det är ju alldeles klart, att man icke behövt befara, att partiernas förtroendemän nu skulle svika sina då gjorda åtaganden. Den farhågan har icke förefunnits. Men däremot hade man kunnat befara, att forceringen av det arbete, som föregick principuppgörelsen vid urtima riksdagen, skulle hava medfört luckor och oklarheter i olika punkter, med rum för skilda meningar om huru uppgörelsen skulle tolkas, så att eventuellt till och med frågans lösning skulle hava äventyrats. Dess bättre hava sådana farhågor, där de tilläventyrs funnits, visat sig vara ogrundade.</w:t>
        <w:br/>
        <w:br/>
        <w:t>På en viktig punkt — den rör första kammarens bildande — ber jag emellertid som min mening få säga, att frågans lösning med fog kan sägas lida av en viss svaghet i sammanfogningen — den svaghet, som plägar karaktärisera de fall, när en ny klut sättes på ett gammalt kläde. Men jag ber att få fastslå, att även på den punkten har man på alla håll gått fram med öppna ögon. Man har icke heller där kommit till oväntade resultat. Det har från något håll i pressen gjorts gällande, att regeringen och särskilt då jag, skulle hava försummat vår plikt, när vi icke till denna riksdag kommit fram med någon bättre lösning än den, som nu framlagts, i fråga om första kammarens bildande. Men häremot ber jag få erinra, att just det sätt, varpå förslaget nu vill lösa förstakammarfrågan, har ingått som en förutsättning för författningsuppgörelsen i sin helhet, och det är sålunda i första rummet riksdagen, som får ta ansvaret för det sätt, varpå denna lösning skett. Vad man beträffande förstakammarproblemet nu kunnat göra har varit att bevara möjligheten för framtiden att, därest man kan komma fram till en bättre lösning, vidtaga densamma utan att vara prejudicerad av nu fattade beslut. Och både från regeringshåll och i utskottet har också konstaterats, att inga hinder därför finnas. Man kan sålunda hoppas, att förstakammarproblemet med det snaraste får upptagas pa allvar.</w:t>
        <w:br/>
        <w:br/>
        <w:t>Jag skulle vilja sammanfatta regeringens och mitt omdöme om utskottets utlåtande så, att den vilja till utjämning av de politiska maktförhållandena, som präglade redan urtima riksdagens principavgörande, den viljan till samförstånd har också i alla avseenden hållit måttet, när det gällt att i detalj bekräfta och utföra enhetsverket i handling. En del modifikationer och ändringar i förslaget hava ägt rum i vissa detaljer. Dessa hava, åtminstone i fråga om sin allmänna läggning, tillkommit i samråd med regeringen. Och jag ber således att få förklara och bekräfta, att regeringen godtar dessa modifikationer och ändringar, som genom utskottets behandling hava vidtagits. Detta hindrar emellertid icke,</w:t>
        <w:br/>
        <w:br/>
        <w:t>att jag åtminstone för egen del är tveksam om, huruvida utskottets förslag i allt utgör en förbättring. Och även om jag nödgas en liten stund upptaga tiden för att påvisa de punkter, där Jag är särskilt tveksam i detta avseende, så har frågan den betydelse, att jag anser mig böra klargöra min ställning härutinnan.</w:t>
        <w:br/>
        <w:br/>
        <w:t>Det är enligt min mening ingenting att säga om att definitivt behandla vallagen i stället för att nu endast provisoriskt granska densamma på sätt, som föreslagits i propositionen. Icke heller är någonting att invända emot, utan i vissa avseenden innebär det nog en förbättring, att man i vallagen inarbetat de bestämmelser om röstning för frånvarande och om äkta makars röstning för varandra, som regeringen tänkt sig skulle intagas i en särskild lag. Men mera tveksam tycker jag, man kan vara om lämpligheten av att inskränka frånvarandes rätt att rösta genom insändande av valsedel på sätt, utskottet föreslår. Kungl. Maj:t hade tänkt sig en allmän regel rörande de fall, när röstning för frånvarande skulle kunna ske, en regel av viss allmängiltighet, som sålunda skulle kunna tillämpas på vilka som helst därunder hänförliga fall. Utskottet har i stället gjort en uppräkning av de kategorier av väljare, som skulle få begagna sig av detta röstningssätt. Denna uppräkning synes mig vara ganska snäv. En hel del kategorier ha icke kommit med, vilka kanske bort vara med. Visar sig detta vara en brist, kan den dock lätt avhjälpas i framtiden. Jag böjer mig också för det resultat, vartill utskottet kommit särskilt därför att det måste medges, att den mera allmänna regel, som regeringen föreslagit, måhända skulle hava lett till vissa svårigheter i tillämpningen.</w:t>
        <w:br/>
        <w:br/>
        <w:t>Utskottet har vidare ändrat regeringsförslagets bestämmelse om själva sättet, huru det skall tillgå, när en person, som är berättigad att skicka in valsedel i stället för att inställa sig personligen, vill rösta. Ändringen har skett för att förenkla valsättet — och det får man säga, att enkelt har det blivit. Jag tycker bara förenklingen gått så långt, att man i viss mån kan anses hava minskat garantierna för att röstningen verkligen utgör ett personligt och självständigt uttryck för den röstandes egen politiska uppfattning. Jag säger mindre om, att man för äkta makar, som enligt Kungl. Maj:ts förslag skulle insända sin röstsedel under kontroll av två vittnen vilka som helst, förenklat röstningen därhän, att det endast behöves ett vittne vilket som helst. Men Jag har litet svårare att resignera inför utskottets sätt att ordna saken, när det gäller folk i allmänhet inom de särskilda kategorier av frånvarande, som skulle äga att rösta genom insändande av valsedel. Både enligt propositionen och enligt utskottets förslag har t. ex. en järnvägsman, som är borta vid valtillfället, att för detta ändamäl anlita ett på visst sätt kvalificerat vittne, som också är skyldig att på anmodan mottaga och översända valsedeln. Enligt propositionen hade emellertid väljaren rätt att dessutom taga med sig ett eget vittne, som skulle vara med och kontrollera denna handling. Vad ville man nu vinna med just det förfarandet?</w:t>
        <w:br/>
        <w:br/>
        <w:t>Jo, dels ville man vinna garanti mot valtryck, ty man kan icke alltid veta, vad den där ensamma herrn, som sitter på sitt rum och tar emot valsedlar, eventuellt kan ta sig till med valmannen. Dels ville man också, genom valmannens rätt att taga med sig ett kontrollvittne, möjliggöra bevisning om, att vederbörande verkligen röstat och avlämnat valsedeln. Ty eljest tår man icke någon kontroll över det speciella valvittnet, huruvida han verkligen skickar in valsedeln. Det blir en ren förtroendesak. Jag vill emellertid endast göra min reservation, eftersom jag varit med om att godta ändringen. Jag förmodar, att utskottet ansett sig hava vägande praktiska skäl för att på sätt som skett förenkla valsättet både i fråga om äkta makar och i fråga om andra.</w:t>
        <w:br/>
        <w:br/>
        <w:t xml:space="preserve">Men däremot får jag säga, att varken regeringen eller jag under några omständigheter kan godtaga herr Petterssons i Bjälbo m. f. reservationsvis framförda förslag att äkta makar skulle få rösta för varandra genom fullmakt. Herr Bengtsson i Norup har redan framhållit en del praktiska olägenheter av ett sådant förfarande och även de principiella i den mån, de hänga ihop med invändningen emot fullmaktsröstning i allmänhet. Men jag skall be att få ytterligare poängtera, att de mest starka principiella skäl även i övrigt tala emot fullmaktsröstning. När t. ex. </w:t>
      </w:r>
      <w:r>
        <w:rPr>
          <w:b/>
        </w:rPr>
        <w:t>hustrun²</w:t>
      </w:r>
      <w:r>
        <w:rPr>
          <w:b w:val="0"/>
        </w:rPr>
        <w:t xml:space="preserve"> själv — om det är </w:t>
      </w:r>
      <w:r>
        <w:rPr>
          <w:b/>
        </w:rPr>
        <w:t>hon²</w:t>
      </w:r>
      <w:r>
        <w:rPr>
          <w:b w:val="0"/>
        </w:rPr>
        <w:t>. som icke kan gå och rösta — i ett ojävigt vittnes närvaro nedlagt en valsedel i ett slutet kuvert och överlämnat det till mannen, för att han skall ta det med sig, så</w:t>
        <w:br/>
        <w:br/>
        <w:t>måste det ju rent av förutsättas bedrägeri eller oredlighet av</w:t>
        <w:br/>
        <w:br/>
        <w:t xml:space="preserve">mannen, därest han icke bär fram just denna sedel eller tar sig för något särskilt med valsedeln för att förhindra </w:t>
      </w:r>
      <w:r>
        <w:rPr>
          <w:b/>
        </w:rPr>
        <w:t>hennes²</w:t>
      </w:r>
      <w:r>
        <w:rPr>
          <w:b w:val="0"/>
        </w:rPr>
        <w:t xml:space="preserve"> röstning. Men om </w:t>
      </w:r>
      <w:r>
        <w:rPr>
          <w:b/>
        </w:rPr>
        <w:t>hustrun²</w:t>
      </w:r>
      <w:r>
        <w:rPr>
          <w:b w:val="0"/>
        </w:rPr>
        <w:t xml:space="preserve"> ger mannen fullmakt, då lämnar </w:t>
      </w:r>
      <w:r>
        <w:rPr>
          <w:b/>
        </w:rPr>
        <w:t>hon²</w:t>
      </w:r>
      <w:r>
        <w:rPr>
          <w:b w:val="0"/>
        </w:rPr>
        <w:t xml:space="preserve"> fullständigt öppet, på vad sätt mannen vill begagna </w:t>
      </w:r>
      <w:r>
        <w:rPr>
          <w:b/>
        </w:rPr>
        <w:t>hennes²</w:t>
      </w:r>
      <w:r>
        <w:rPr>
          <w:b w:val="0"/>
        </w:rPr>
        <w:t xml:space="preserve"> rösträtt. Det är alldeles omöjligt, om man vill upprätthålla principen om den personliga röstningen och vad däri ligger, att uppgiva den fordran, att det är väljaren själv, som skall inlägga sin valsedel i slutet valkuvert. Men vidare förefaller det vara en ren inkonsekvens i reservationen, att man, när det gäller äkta makar, tillåter dem rösta med fullmakt, men däremot, då det gäller andra personer, som skola hava rätt att rösta, ehuru de äro frånvarande, är med om att godkänna ett annat sätt för valsedels översändande. Och slutligen, den där stora enkelheten, som skulle vinnas genom att använda fullmakt i stället för att i vittnes närvaro lägga in valsedeln, föreligger icke heller enligt reservanternas förslag. Skall det lämnas fullmakt, måste ju fullmakten vara bevittnad, och denna bevittning skall ske av två vittnen — den fordran kan man väl icke uppgiva. Där ha vi sålunda åter besväret att skaffa två vittnen, precis samma besvär som ifall Kungl. Maj:ts förslag hade gått igenom oförändrat. Utskottets förslag är sålunda här enklare än både propositionens och reservanternas förslag.</w:t>
        <w:br/>
        <w:br/>
        <w:t>Med undantag av denna fråga om den s. k. fullmaktsröstningen har det uppstått olika meningar mellan de stora partierna egentligen endast i två punkter. Den ena har gällt spörsmålet,</w:t>
        <w:br/>
        <w:br/>
        <w:t>på vad sätt den höjda valrättsåldern av 27 år för elektorer till första kammaren borde lagfästas, och beträffande denna är jag angölägen om att något litet få motivera regeringsförslagets ståndunkt. P Beträffande landstingen står det redan i respektive kommunalförordningar, sålunda icke i grundlag, att åldern skall vara 27 år både i fråga om valrätt och valbarhet, och detta stadgande antogs ju utan invändning vid de nya kommunallagarnas tillkomst. Att vid sådant förhållande med herr Trygger och några andra reservanter i första kammaren vara med om att flytta över bestämmelserna rörande valbarhetsåldern för landstingen till grundlagen, finnes naturligtvis icke anledning till. Man kan tvärtom säga, att detta skulle strida emot hela strukturen i den träffade uppgörelsen.</w:t>
        <w:br/>
        <w:br/>
        <w:t>Sedan hava vi nästa fråga, nämligen den, huruvida vad angår elektorer till förstakammarvalen för vissa större städer de nya bestämmelserna om valrättsåldern böra stå direkt införda i grundlagen, eller om det där endast bör stå en hänvisning från grundlagen till vallagen, på sätt herr Per Albin Hansson motionsvis föreslagit. Jag vill visst icke förneka, att rent formellt kan det ha varit det mest korrekta, att grundlagen icke träffat bestämmelser speciellt om dessa elektorer eftersom detta icke skett beträffande landstingsmän. Men på samma gång ber jag få förklara, att jag, som jag har läst författningsuppgörelsen vid urtima riksdagen, ansett mig bunden att intaga bestämmelse i fråga om elektorerna i grundlagen. Jag skall icke upptaga tiden med att referera vad som därom säges i riksdagens skrivelse, men vid en vanlig innanläsning tycker jag åtminstone det framstår som klart, att det var överenskommet, att dessa bestämmelser skulle in i grundlagen, på sätt som också i regeringsförslaget skett.</w:t>
        <w:br/>
        <w:br/>
        <w:t>Detta var således en skiljaktighet i form, men dessutom har det inom utskottet funnits en skiljaktighet i sak, som visserligen icke har större betydelse, men som ändock kanske bör beröras. Det gäller formuleringen av fattigvårdsstrecket. Där har utskottets majoritet lika med Kungl. Maj:t från valrätt uteslutit endast dem, som personligen omhändertagits för varaktig försörjning av den allmänna fattigvården. Den lösningen står fullständigt 1 överensstämmelse med ordnandet av den kommunala rösträtten, och redan den omständigheten tycker jag, liksom herr Bengtsson i Norup, bör vara tillräcklig för att man icke här skall ha anledning att gå någon annan väg. Men dessutom föreligger det alldeles bestämt starka reella skäl emot att gå den av reservanterna föreslagna vägen. Reservanterna föreslå nämligen, att fattigvårdsstrecket skulle formuleras så, att även fattiga under s. k. öppen fattigvård borde uteslutas från rösträtt, så snart de av allmänna fattigvården åtnjuta »varaktigt understöd». I själva verket tror jag icke det i tillämpningen behöver bliva så värst stor skillnad mellan de två uttrycken, därest man med varaktigt understöd ungefär menar detsamma som full försörjning. Men alldeles givet är det klarare och principiellt mera rättvist att taga den bestämmelse, som redan</w:t>
        <w:br/>
        <w:br/>
        <w:t xml:space="preserve">finnes i kommunallagarna, och som nu Kungl. Maj:t föreslagit. Klarare är denna bestämmelse, ty när man går till förhållandena inom den öppna fattigvården, uppkommer lätt nog tvekan om tolkningen både av uttrycket »varaktigt» och uttrycket »understöd&gt;. Därför har man, när man i tidigare förslag varit inne på fattigvårdsstreckets revision, försökt att, i stället för att använda uttrycket »varaktigt» bestämma tiden för understödet på visst sätt. Men även uttrycket »understöd&gt; är tvivelaktigt, och en av anledningarna till revisionsyrkandena har just varit den ojämna och osäkra tillämpningen av motsvarande uttryck i nuvarande svensk rätt. Det finnes åtskilligt att säga om denna sak, men jag skall icke upptaga tiden därmed. Jag vill blott tillägga, att man ur principell synpunkt väl kan göra gällande, att fattigvårdsstrecket elt och hållet bör upphävas. Men skall man hava det kvar, synes det böra läggas så, att endast i fall, där den yttre personliga självbestämningsrätten har upphört, upphör också rösträtten. Emellertid kan det nu icke komma ifråga, och det har icke heller yrkats, att dessa små skiljaktigheter skulle föranleda förslagets fall. Vi kunna därför utgå från, att vi nu verkligen stå inför den stora lösningen av författningsfrågan. Härmed skall den folkrörelse, som framställt och stött kraven på full demokrati inom den svenska författningen i allt väsentligt vara tillfredsställd, vara vid målet, Förgäves skall man från visst ytterlighetshåll söka framställa saken så, att det arbete, som nu sist av författningsutskottet utförts, är ett fuskverk eller ett halvgjort arbete. I en och annan punkt är det givet, att lösningen kunnat vara radikalare och mera helgjuten. I detaljer kunna vi litet var, från olika utgångspunkter både från högern och från vänstern, hava haft önskemål, som icke uppfyllts. Men de eventuella bristerna få vi väl ändock alla erkänna undanskymmas inför förslagets stora linjer och det faktum, att enighet här kunnat uppnås mellan partierna. Genom vad som strax skall hända gå vi in i en ny epok av vårt offentliga liv. Vad som mer än allt annat är ägnat att ge denna en ny karaktär, är att vårt lands </w:t>
      </w:r>
      <w:r>
        <w:rPr>
          <w:b/>
        </w:rPr>
        <w:t>kvinnor¹</w:t>
      </w:r>
      <w:r>
        <w:rPr>
          <w:b w:val="0"/>
        </w:rPr>
        <w:t xml:space="preserve"> skola för framtiden med oss män dela det politiska arbetets möda och ansvar. </w:t>
      </w:r>
      <w:r>
        <w:rPr>
          <w:b/>
        </w:rPr>
        <w:t>Kvinnornas¹</w:t>
      </w:r>
      <w:r>
        <w:rPr>
          <w:b w:val="0"/>
        </w:rPr>
        <w:t xml:space="preserve"> rösträttsfråga skall nu äntligen lösas och — lyckligtvis — lösas utan minsta prutmån, på samma villkor som för män. I denna del var, det måste erkännas, urtima riksdagens principuppgörelse särdeles allmänt hållen, det fanns rum för undantag och förbehåll, som länge rests av </w:t>
      </w:r>
      <w:r>
        <w:rPr>
          <w:b/>
        </w:rPr>
        <w:t>kvinnorösträttens¹</w:t>
      </w:r>
      <w:r>
        <w:rPr>
          <w:b w:val="0"/>
        </w:rPr>
        <w:t xml:space="preserve"> motståndare eller ljumma vänner. Skulle det nu framkomma speciella betingelser med hänsyn till valrättsålder och valbarhet för </w:t>
      </w:r>
      <w:r>
        <w:rPr>
          <w:b/>
        </w:rPr>
        <w:t>kvinnorna¹</w:t>
      </w:r>
      <w:r>
        <w:rPr>
          <w:b w:val="0"/>
        </w:rPr>
        <w:t xml:space="preserve">? Den frågan gjorde man sig på intresserat håll. Dessa farhågor, där de funnits, ha visat sig fullständigt obefogade. Jag känner också ett behov att, från denna plats och i denna stund, ge ett uttryck av erkännande för den lojala och generösa anda, som visats vid behandlingen nu i sista stund av </w:t>
      </w:r>
      <w:r>
        <w:rPr>
          <w:b/>
        </w:rPr>
        <w:t>kvinnornas¹</w:t>
      </w:r>
      <w:r>
        <w:rPr>
          <w:b w:val="0"/>
        </w:rPr>
        <w:t xml:space="preserve"> rösträttsfråga, icke minst från högerpartiet. Då vi män nu ha glädjen att hälsa </w:t>
      </w:r>
      <w:r>
        <w:rPr>
          <w:b/>
        </w:rPr>
        <w:t>kvinnorna¹</w:t>
      </w:r>
      <w:r>
        <w:rPr>
          <w:b w:val="0"/>
        </w:rPr>
        <w:t xml:space="preserve"> välkomna i det</w:t>
        <w:br/>
        <w:br/>
        <w:t xml:space="preserve">politiska arbetets leder, komma de i rätt tid för att hjälpa oss att bygga upp vad den s. k. maskulina kulturen varit sysselsatt att i fAera år riva ned. Vi besjälas också säkerligen alla av den önskan, varåt utskottet givit uttryck i de något allmänt formulerade orden, »att </w:t>
      </w:r>
      <w:r>
        <w:rPr>
          <w:b/>
        </w:rPr>
        <w:t>kvinnornas¹</w:t>
      </w:r>
      <w:r>
        <w:rPr>
          <w:b w:val="0"/>
        </w:rPr>
        <w:t xml:space="preserve"> inträde i det politiska livet måtte lända till båtnad för land och folk,» Om jag härtill skulle vilja säga något så är det i anslutning till det varåt herr Lindhagen uti en i åtskilligt aunat rätt exentrisk motion sökt giva uttryck, när han uttalat den förväntan, att det nya medborgarskapet måtte bli en ny fostrande kraft till större humanitet och samförstånd i vårt politiska liv. Jag tror dock icke i likhet med vad herr Lindhagen att döma av hans yttranden vid olika tillfällen hoppas och tror, nämligen att denna nya kraft skall komma samhället till godo genom att </w:t>
      </w:r>
      <w:r>
        <w:rPr>
          <w:b/>
        </w:rPr>
        <w:t>kvinnan¹</w:t>
      </w:r>
      <w:r>
        <w:rPr>
          <w:b w:val="0"/>
        </w:rPr>
        <w:t xml:space="preserve"> håller sig utanför partipolitiken, utanför de bestående partierna. Tvärtom hoppas jag, att </w:t>
      </w:r>
      <w:r>
        <w:rPr>
          <w:b/>
        </w:rPr>
        <w:t>kvinnorna¹</w:t>
      </w:r>
      <w:r>
        <w:rPr>
          <w:b w:val="0"/>
        </w:rPr>
        <w:t xml:space="preserve"> i stället med livaktighet och intresse skola ägna sig åt det politiska arbetet inom våra partier. Men samtidigt vill jag uttala den förhoppningen, att </w:t>
      </w:r>
      <w:r>
        <w:rPr>
          <w:b/>
        </w:rPr>
        <w:t>kvinnorna¹</w:t>
      </w:r>
      <w:r>
        <w:rPr>
          <w:b w:val="0"/>
        </w:rPr>
        <w:t xml:space="preserve"> måtte bli ett salt inom dessa partier, och att dessas framtida politik må bliva tillräckligt livskraftig och vidsynt för att rymma både mäns och </w:t>
      </w:r>
      <w:r>
        <w:rPr>
          <w:b/>
        </w:rPr>
        <w:t>kvinnors¹</w:t>
      </w:r>
      <w:r>
        <w:rPr>
          <w:b w:val="0"/>
        </w:rPr>
        <w:t xml:space="preserve"> idéer och intressen.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