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342</w:t>
      </w:r>
    </w:p>
    <w:p>
      <w:r>
        <w:rPr>
          <w:b/>
        </w:rPr>
        <w:t xml:space="preserve">Datum: </w:t>
      </w:r>
      <w:r>
        <w:t>1919-05-28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Mauritz Hellberg (Liberala riksdagspartiet, man)</w:t>
      </w:r>
    </w:p>
    <w:p>
      <w:r>
        <w:rPr>
          <w:b w:val="0"/>
        </w:rPr>
        <w:t xml:space="preserve">Jag har icke kunnat undgå att lägga märke till den stora skillnad som uppstår mellan de dyrtidstillägg som komma att lämnas till vissa befattningshavare i år i jämförelse med dem som lämnades i fjol. Om man ser på jämförelsetabellen sid. 11, finner man, att för sådana f. d. befattningshavare, som hava pension eller understöd å 50 kronor utgick i fjol dyrtidstillägget med 325 kronor; i år få de endast 73 kronor 50 öre. För en person med 100 kronor i pension utgick i fjol dyrtidstillägg med 350 kronor, men i år får samma pensionär endast 147 kronor. Denna stora skillnad mellan vad som gavs i fjol och vad som föreslås i år framträder ännu skarpare, när man kommer till nästa betänkande, där man har en liknande jämförelsetabell på sid. 24 och 25. Man ser där, att en </w:t>
      </w:r>
      <w:r>
        <w:rPr>
          <w:b/>
        </w:rPr>
        <w:t>änka²</w:t>
      </w:r>
      <w:r>
        <w:rPr>
          <w:b w:val="0"/>
        </w:rPr>
        <w:t xml:space="preserve"> med ett barn på en pension av 100 kronor i fjol fick 300 kronor, men i år dlenille </w:t>
      </w:r>
      <w:r>
        <w:rPr>
          <w:b/>
        </w:rPr>
        <w:t>hon²</w:t>
      </w:r>
      <w:r>
        <w:rPr>
          <w:b w:val="0"/>
        </w:rPr>
        <w:t xml:space="preserve"> få 157 kronor. En </w:t>
      </w:r>
      <w:r>
        <w:rPr>
          <w:b/>
        </w:rPr>
        <w:t>änka²</w:t>
      </w:r>
      <w:r>
        <w:rPr>
          <w:b w:val="0"/>
        </w:rPr>
        <w:t xml:space="preserve"> med tre barn, som i fjol fick 525 kronor, skulle i år få 177 kronor, och en </w:t>
      </w:r>
      <w:r>
        <w:rPr>
          <w:b/>
        </w:rPr>
        <w:t>änka²</w:t>
      </w:r>
      <w:r>
        <w:rPr>
          <w:b w:val="0"/>
        </w:rPr>
        <w:t xml:space="preserve"> med fem barn, som i fjol fick 750 kronor, skulle i år få 197 kronor. Det är dock påfallande, att denna skillnad mellan i fjol och i år är alldeles påfallande stor, särskilt i det sistnämnda fallet.</w:t>
        <w:br/>
        <w:br/>
        <w:t>Nu har det visserligen sagts, att det var ett slags misshugg av riksdagen att bevilja så stora dyrtidstillägg 1 fjol. Det må vara hänt. Men jag tycker att, om riksdagen gjort ett sådant misshugg ett år, kan den inte billigtvis året därpå lämna ett bidrag, som är så ofantligt mycket mindre, att det uppgår nästan till bara fjärdedelen av fjolårets. Det blir en viss nyckfullhet i behandlingen av de människor, som det här gäller att lämna bidrag, och det är inte tilltalande. Nu förstår jag naturligtvis, att utskottet har varit, såsom det alltid är, konsekvent och principfast i</w:t>
        <w:br/>
        <w:br/>
        <w:t>behandlingen av dessa frågor. Men jag tycker, att det har lett ing. grunder</w:t>
        <w:br/>
        <w:br/>
        <w:t>till resultat, som äro rätt betänkliga. or dyrtids- Jag skall därför vördsamt be att få hemställa, om inte kamnn</w:t>
        <w:br/>
        <w:br/>
        <w:t>maren kunde finna skäl föreligga att återremittera denna fråga, (Forts.</w:t>
        <w:br/>
        <w:br/>
        <w:t>för att utskottet kunde få taga under omprövning, om icke i fråga</w:t>
        <w:br/>
        <w:br/>
        <w:t>ningshavare och åt änkor och minderåriga barn, det skulle kunna</w:t>
        <w:br/>
        <w:br/>
        <w:t>vara möjligt att åstadkomma en övergång, som vore nagot mju-</w:t>
        <w:br/>
        <w:br/>
        <w:t>kare än den något bryska och tvära, som här föreslagits.</w:t>
        <w:br/>
        <w:br/>
        <w:t>. Herr Wickman: Jag medgiver, att man blir betänksam inför det fall, som här föreligger, men då utskottet haft att stödja sig på fjolårets särskilda utskott i fråga om sådana befattningshavare, har det knappt varit möjligt för utskottet att gå någon annan väg. Därtill kommer ett annat skäl, att det var av vikt för utskottet att icke gå från den princip, som varit gällande tidigare i fråga om att med dyrtidstillägg hjälpa sådana befattningshavare som icke varit anställda i statstjänst. Vad jag nu all understryka är att, om man giver dyrtidstillägg åt befattningshavare vid dessa statsunderstödda anstalter, som motionärerna avse, är man därmed inne på den linjen, att dessa anstalters tjänstemän och tjänare äro statstjänare och således i viss mån pensionsberättigade. Går man på den linjen har man rivit upp alla principer som utskottet haft i fråga om pensionering av befattningshavare i statens tjänst, och då blir det en stor massa, som naturligtvis i fortsättningen kan visa på det prejudikat som här ifrågasättes, och då beklagar jag, att vi kommit in på en sådan linje.</w:t>
        <w:br/>
        <w:br/>
        <w:t>Den siste talaren yrkade, att ärendet skulle återremitteras, för att det skulle bli en mjukare övergång från fjolårets förhållanden. Jag vet icke, huru det skall gå till att göra övergången mjukare; då får man gå ifrån den princip, som man tidigare följt att icke giva dyrtidstillägg åt personer, som icke varit statens befattningshavare. |</w:t>
        <w:br/>
        <w:br/>
        <w:t>Jag yrkar bifall till utskottets hemställan.</w:t>
      </w:r>
    </w:p>
    <w:p>
      <w:pPr>
        <w:pStyle w:val="Heading2"/>
      </w:pPr>
      <w:r>
        <w:t>2. Ernst Hedenstierna (Nationella framstegspartiet, man)</w:t>
      </w:r>
    </w:p>
    <w:p>
      <w:r>
        <w:rPr>
          <w:b w:val="0"/>
        </w:rPr>
        <w:t>Jag anhåller endast, att kammaren icke måtte återremittera ärendet till utskottet, då jag är övertygad, att en återremiss icke skulle föranleda till någon ändring i det förslag, som utskottet framlagt. Skulle man följa herr Hellbergs förslag, skulle man bliva nödsakad att lägga om hela grunden för understöden. Men skall man följa de principer, som förut gillats av statsutskottet och även antagits av riksdagen, går det svårligen att nu lägga saken på annat sätt.</w:t>
        <w:br/>
        <w:br/>
        <w:t>Jag hemställer därför, att kammaren icke måtte återremittera ärendet utan godtaga utskottets förslag.</w:t>
        <w:br/>
        <w:br/>
        <w:t>bara de som drabbas av den bryska omkastningen från ett större belopp i fjol till ett mycket mindre belopp 1 år. Om jag icke missminner mig, har man förut gjort jämkningar för de lägsta, och det är en sådan jämkning jag avser med mitt förslag, för att övergången kunde bliva något mildare, än vad här är föreslaget.</w:t>
      </w:r>
    </w:p>
    <w:p>
      <w:pPr>
        <w:pStyle w:val="Heading2"/>
      </w:pPr>
      <w:r>
        <w:t>3. Alfred Petren (Socialdemokraterna, man)</w:t>
      </w:r>
    </w:p>
    <w:p>
      <w:r>
        <w:rPr>
          <w:b w:val="0"/>
        </w:rPr>
        <w:t>Utskottets ärade ordförande anförde i sitt första yttrande såsom skäl för avslag å vår motion, att icke något nytt förekommit sedan i fjol, då riksdagen avslog en liknande motion. Däremot hade utskottets ordförande intet att anföra gentemot det skäl, som av mig åberopades för bifall till motionen. Jag ber ännu en gång att få stryka under, att det skäl, som anförts för utskottets ståndpunkt icke har giltighet; ty när det sägs att, då befattningshavare vid dessa anstalter icke få dyrtidstillägg, böra icke heller pensionerade befattningshavare från samma anstalter hava dyrtidstillägg, så är däremot att invända, att denna princip icke alltid har upprätthållits, ty under det att icke alla delägare i folkskollärarnas pensionsinrättning få dyrtidstillägg, ha däremot alla pensionärer från folkskollärarnas pensionsinrättning dyrtidstillägg. Det är det jag vill hava fastslaget.</w:t>
        <w:br/>
        <w:br/>
        <w:t xml:space="preserve">Och härtill vill jag anföra ännu en synpunkt. En delägare i dövstumlärarnas pensionsanstalt tillhör folkskollärarnas </w:t>
      </w:r>
      <w:r>
        <w:rPr>
          <w:b/>
        </w:rPr>
        <w:t>änkeoch²</w:t>
      </w:r>
      <w:r>
        <w:rPr>
          <w:b w:val="0"/>
        </w:rPr>
        <w:t xml:space="preserve"> pupillkassa. Då pensionärerna från denna senare få dyrtidstillägg, inträffar det egendomliga förhållandet, att </w:t>
      </w:r>
      <w:r>
        <w:rPr>
          <w:b/>
        </w:rPr>
        <w:t>änka²</w:t>
      </w:r>
      <w:r>
        <w:rPr>
          <w:b w:val="0"/>
        </w:rPr>
        <w:t xml:space="preserve"> och minderåriga barn efter delägare i dövstumlärarnas pensionsanstalter få dyrtidstillägg, under det delägaren själv, en pensionerad dövstumlärare, 0. s. v. icke får sådant tillägg. Det må väl sägas vara ett egendomligt. förhållande, och det enda riktiga är väl, att den ena statsunderstödda pensionsanstalten lika väl som den andra får dyrtidstillägg.</w:t>
        <w:br/>
        <w:br/>
        <w:t>Jag vill till sist nämna, att det här icke rör sig om så synnerligen stora belopp. Enligt den beräkning vi gjort skulle det hela belöpa sig till omkring 60,000 kronor, och i jämförelse med de miljoner, som utskottet föreslagit att utgå för dyrtidstillägg, är detta belopp ju en bagatell.</w:t>
        <w:br/>
        <w:br/>
        <w:t>Jag vidhåller fortfarande mitt yrkande.</w:t>
        <w:br/>
        <w:br/>
        <w:t>som föranledes av bifall till den av herr Alfred Petrén m. fl. i ämnet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