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366</w:t>
      </w:r>
    </w:p>
    <w:p>
      <w:r>
        <w:rPr>
          <w:b/>
        </w:rPr>
        <w:t xml:space="preserve">Datum: </w:t>
      </w:r>
      <w:r>
        <w:t>1920-04-17</w:t>
      </w:r>
    </w:p>
    <w:p>
      <w:r>
        <w:rPr>
          <w:b/>
        </w:rPr>
        <w:t xml:space="preserve">Kammare: </w:t>
      </w:r>
      <w:r>
        <w:t>Första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Alexanderson (Liberala samlingspartiet, man)</w:t>
      </w:r>
    </w:p>
    <w:p>
      <w:r>
        <w:rPr>
          <w:b w:val="0"/>
        </w:rPr>
        <w:t>Herr talman! Jag begärde verkligen ordet i förväntan på att den talare från utskottet, som yttrade sig närmast före herr Reuterskiöld, skulle föra utskottets talan. Då så emellertid icke blivit fallet, kunde det vara överflödigt att jag tillfogar något till vad herr statsrådet nyss yttrat till förmån för den kungl. propositionens ståndpunkt. Jag skall ändå tillåta mig att med ett par ord belysa frågan, därför att jag tror, att den är rätt så betydelsefull, och å andra sidan så pass invecklad att det ju kan finnas goda skäl för olika meningar, vilket bäst visas av att den stora enighet, som annars behärskat utskottet, alldeles brustit i den här punkten.</w:t>
        <w:br/>
        <w:br/>
        <w:t>Det är tydligt, att utgångspunkten för utskottet, som herr Schlyter nyss påpekade, har varit den tanken, att det borde råda full rättslig likställighet för båda makarna i den här punkten liksom i andra punkter. Sedan har utskottet blivit ställt i valet och kvalet mellan att gå den</w:t>
        <w:br/>
        <w:br/>
        <w:t>linje, som slutligen blev herr Petterssons i Bjälbo reservation, nämligen att ingendera av makarna skulle med sin egen egendom svara för den andra makens personliga utgifter, eller också att låta vardera maken svara för den andras personliga utgifter. Vid den debatt, som förekom inom utskottet, kunde det icke gärna bliva någon fördolt, att bägge dessa linjer äro förenade med mycket betänkliga sidor.</w:t>
        <w:br/>
        <w:br/>
        <w:t xml:space="preserve">Vad själva den så bestickande tanken angår, att makarna böra vara likställda här som eljest, ber jag få framhålla, att rent faktiskt kommer det ju hädanefter som hittills i den stora mängden av äktenskap att ställa sig som herr Reuterskiöld på förmiddagen ville, att ett äktenskap skulle vara, nämligen att mannen skaffar sig inkomster genom att försörja sig med ett yrke utom hemmet och </w:t>
      </w:r>
      <w:r>
        <w:rPr>
          <w:b/>
        </w:rPr>
        <w:t>hustrun²</w:t>
      </w:r>
      <w:r>
        <w:rPr>
          <w:b w:val="0"/>
        </w:rPr>
        <w:t xml:space="preserve"> väsentligen ägnar sig åt vården av hemmet; och i ett mycket stort antal fall får </w:t>
      </w:r>
      <w:r>
        <w:rPr>
          <w:b/>
        </w:rPr>
        <w:t>hon²</w:t>
      </w:r>
      <w:r>
        <w:rPr>
          <w:b w:val="0"/>
        </w:rPr>
        <w:t xml:space="preserve"> icke tillfälle att medhinna någonting annat. Vad betyder det? Det betyder, att mannen får i sin hand inkomsterna i första hand, och </w:t>
      </w:r>
      <w:r>
        <w:rPr>
          <w:b/>
        </w:rPr>
        <w:t>hustrun²</w:t>
      </w:r>
      <w:r>
        <w:rPr>
          <w:b w:val="0"/>
        </w:rPr>
        <w:t xml:space="preserve"> däremot får icke några kontanta inkomster att röra sig med annat än i den mån som mannen sin plikt — och numera sin rättsliga plikt — likmätigt lämnar </w:t>
      </w:r>
      <w:r>
        <w:rPr>
          <w:b/>
        </w:rPr>
        <w:t>henne²</w:t>
      </w:r>
      <w:r>
        <w:rPr>
          <w:b w:val="0"/>
        </w:rPr>
        <w:t xml:space="preserve"> pengar såväl till den dagliga hushållningen som också till </w:t>
      </w:r>
      <w:r>
        <w:rPr>
          <w:b/>
        </w:rPr>
        <w:t>hennes²</w:t>
      </w:r>
      <w:r>
        <w:rPr>
          <w:b w:val="0"/>
        </w:rPr>
        <w:t xml:space="preserve"> personliga utgifter. Men i den mån han är alltför snål i detta avseende, medan han kanske däremot kostar på sig själv ganska mycket, är en sådan </w:t>
      </w:r>
      <w:r>
        <w:rPr>
          <w:b/>
        </w:rPr>
        <w:t>hustru²</w:t>
      </w:r>
      <w:r>
        <w:rPr>
          <w:b w:val="0"/>
        </w:rPr>
        <w:t xml:space="preserve"> — d. v. s. en </w:t>
      </w:r>
      <w:r>
        <w:rPr>
          <w:b/>
        </w:rPr>
        <w:t>hustru²</w:t>
      </w:r>
      <w:r>
        <w:rPr>
          <w:b w:val="0"/>
        </w:rPr>
        <w:t xml:space="preserve">, som befinner sig i den fullkomligt normala situationen att icke ha någon egen arbetsinkomst — synnerligen dåligt ställd. Det är ju klart, att </w:t>
      </w:r>
      <w:r>
        <w:rPr>
          <w:b/>
        </w:rPr>
        <w:t>hon²</w:t>
      </w:r>
      <w:r>
        <w:rPr>
          <w:b w:val="0"/>
        </w:rPr>
        <w:t xml:space="preserve"> först i sista hand vill — och för övrigt först i sista hand kan — anlita någon utväg att tvinga fram ett direkt uppfyllande av mannens underhållsplikt. Men eljest har </w:t>
      </w:r>
      <w:r>
        <w:rPr>
          <w:b/>
        </w:rPr>
        <w:t>hon²</w:t>
      </w:r>
      <w:r>
        <w:rPr>
          <w:b w:val="0"/>
        </w:rPr>
        <w:t xml:space="preserve"> ju ingen annan utväg än den som är </w:t>
      </w:r>
      <w:r>
        <w:rPr>
          <w:b/>
        </w:rPr>
        <w:t>henne²</w:t>
      </w:r>
      <w:r>
        <w:rPr>
          <w:b w:val="0"/>
        </w:rPr>
        <w:t xml:space="preserve"> given i den kungl. propositionens 12 $ och som utskottet vill låta </w:t>
      </w:r>
      <w:r>
        <w:rPr>
          <w:b/>
        </w:rPr>
        <w:t>henne²</w:t>
      </w:r>
      <w:r>
        <w:rPr>
          <w:b w:val="0"/>
        </w:rPr>
        <w:t xml:space="preserve"> behålla men som enligt herr Petterssons i Bjälbo reservation och herr Schlyters yrkande skulle berövas </w:t>
      </w:r>
      <w:r>
        <w:rPr>
          <w:b/>
        </w:rPr>
        <w:t>henne²</w:t>
      </w:r>
      <w:r>
        <w:rPr>
          <w:b w:val="0"/>
        </w:rPr>
        <w:t xml:space="preserve">. Detta är en rätt, som </w:t>
      </w:r>
      <w:r>
        <w:rPr>
          <w:b/>
        </w:rPr>
        <w:t>hustrurna²</w:t>
      </w:r>
      <w:r>
        <w:rPr>
          <w:b w:val="0"/>
        </w:rPr>
        <w:t xml:space="preserve">, såsom herr Schlyter mycket riktigt anmärkte, av ålder ha haft. Man fruktar emellertid nu, att denna rätt, som hittills såvitt veterligt icke i någon avsevärd mån har missbrukats, nu skulle komma att bli farlig, då den komme att tydligt fastslås genom en lagparagraf. Jag tror för min del icke, att tillvaron av en lagbestämmelse i saken skall komma att verka någon sådan märkvärdig förändring i detta avseende. Jag tror tvärtom å andra sidan, att det är nödvändigt, att då </w:t>
      </w:r>
      <w:r>
        <w:rPr>
          <w:b/>
        </w:rPr>
        <w:t>hustrun²</w:t>
      </w:r>
      <w:r>
        <w:rPr>
          <w:b w:val="0"/>
        </w:rPr>
        <w:t xml:space="preserve"> genom den nya lagstiftningen i de normala fallen, då </w:t>
      </w:r>
      <w:r>
        <w:rPr>
          <w:b/>
        </w:rPr>
        <w:t>hon²</w:t>
      </w:r>
      <w:r>
        <w:rPr>
          <w:b w:val="0"/>
        </w:rPr>
        <w:t xml:space="preserve"> icke har någon arbetsinkomst, icke i något hänseende blir bättre ställd än vad </w:t>
      </w:r>
      <w:r>
        <w:rPr>
          <w:b/>
        </w:rPr>
        <w:t>hon²</w:t>
      </w:r>
      <w:r>
        <w:rPr>
          <w:b w:val="0"/>
        </w:rPr>
        <w:t xml:space="preserve"> är enligt gällande lag, eftersom mannen fortfarande — då det ju är hans inkomst — får hand om vad som kontant inflyter i huset — det är då alldeles nödvändigt att, liksom alltid hittills enligt praxis, fortfarande ha en liten säkerhetsventil, så att säga, för </w:t>
      </w:r>
      <w:r>
        <w:rPr>
          <w:b/>
        </w:rPr>
        <w:t>hustrun²</w:t>
      </w:r>
      <w:r>
        <w:rPr>
          <w:b w:val="0"/>
        </w:rPr>
        <w:t xml:space="preserve"> genom denna möjlighet att taga sina nödvändighetsvaror i klädväg och sådant på kredit, om mannen nekar </w:t>
      </w:r>
      <w:r>
        <w:rPr>
          <w:b/>
        </w:rPr>
        <w:t>henne²</w:t>
      </w:r>
      <w:r>
        <w:rPr>
          <w:b w:val="0"/>
        </w:rPr>
        <w:t xml:space="preserve"> medel därtill. | | |</w:t>
        <w:br/>
        <w:br/>
        <w:t xml:space="preserve">Men uppenbarligen vore det en ganska stor risk att giva en motsvarande möjlighet åt mannen. Det vore till en början tämligen onödigt i det ojämförligt största antalet fall, eftersom mannen där har arbetsinkomsten och kan använda denna arbetsinkomst och icke behöver vända sig till </w:t>
      </w:r>
      <w:r>
        <w:rPr>
          <w:b/>
        </w:rPr>
        <w:t>hustrun²</w:t>
      </w:r>
      <w:r>
        <w:rPr>
          <w:b w:val="0"/>
        </w:rPr>
        <w:t xml:space="preserve"> för att få pengar till sina personliga behov.</w:t>
        <w:br/>
        <w:br/>
        <w:t>Lördagen den 17 april, e. m. 15 [ de sällsynta undantagsfall, där saken ligger annorlunda, kunde det visserligen vara behjärtansvärt, att mannen finge en dylik rätt, men jag tror, att man ändock måste avstå från att ge honom en sådan på grund av den stora fara, som en allmän rätt för männen i detta avseende skulle innebära.</w:t>
        <w:br/>
        <w:br/>
        <w:t xml:space="preserve">Låt oss se, hur detta förhåller sig enligt den nu gällande rätten. En </w:t>
      </w:r>
      <w:r>
        <w:rPr>
          <w:b/>
        </w:rPr>
        <w:t>kvinna¹</w:t>
      </w:r>
      <w:r>
        <w:rPr>
          <w:b w:val="0"/>
        </w:rPr>
        <w:t xml:space="preserve">, som gifter sig med en man, vars karaktärssvaghet i fråga om utgifter o. s. v. </w:t>
      </w:r>
      <w:r>
        <w:rPr>
          <w:b/>
        </w:rPr>
        <w:t>hon²</w:t>
      </w:r>
      <w:r>
        <w:rPr>
          <w:b w:val="0"/>
        </w:rPr>
        <w:t xml:space="preserve"> väl känner, och som har vissa betänkligheter att utsätta den lilla förmögenhet, det lilla bohag, dena stickmaskin, den sparbanksbok — eller vad det nu kan vara som </w:t>
      </w:r>
      <w:r>
        <w:rPr>
          <w:b/>
        </w:rPr>
        <w:t>hon²</w:t>
      </w:r>
      <w:r>
        <w:rPr>
          <w:b w:val="0"/>
        </w:rPr>
        <w:t xml:space="preserve"> äger, för riskerna av att mannen på uteliv och förströelser och annat som han kostar på sig, skall föröda dessa tillgångar — den </w:t>
      </w:r>
      <w:r>
        <w:rPr>
          <w:b/>
        </w:rPr>
        <w:t>kvinnan¹</w:t>
      </w:r>
      <w:r>
        <w:rPr>
          <w:b w:val="0"/>
        </w:rPr>
        <w:t xml:space="preserve"> kan nu skydda sig genom att begära äktenskapsförord. Och det är ett faktum, som envar kan vitsorda, som har sett erfarenhet om de äktenskapsförord, vilka nu ingivas till domstolarna, att ett icke ringa antal av dem just angå dessa ringa bon, där </w:t>
      </w:r>
      <w:r>
        <w:rPr>
          <w:b/>
        </w:rPr>
        <w:t>hustrun²</w:t>
      </w:r>
      <w:r>
        <w:rPr>
          <w:b w:val="0"/>
        </w:rPr>
        <w:t xml:space="preserve"> har vetat att i förväg skydda den lilla egendom, som </w:t>
      </w:r>
      <w:r>
        <w:rPr>
          <w:b/>
        </w:rPr>
        <w:t>hon²</w:t>
      </w:r>
      <w:r>
        <w:rPr>
          <w:b w:val="0"/>
        </w:rPr>
        <w:t xml:space="preserve"> har. Men märk nu, att enligt den nya lagen skulle emellertid </w:t>
      </w:r>
      <w:r>
        <w:rPr>
          <w:b/>
        </w:rPr>
        <w:t>hustrun²</w:t>
      </w:r>
      <w:r>
        <w:rPr>
          <w:b w:val="0"/>
        </w:rPr>
        <w:t xml:space="preserve"> icke i dylika fall kunna skydda sig genom äktenskapsförord. För närvarande häftar </w:t>
      </w:r>
      <w:r>
        <w:rPr>
          <w:b/>
        </w:rPr>
        <w:t>hustruns²</w:t>
      </w:r>
      <w:r>
        <w:rPr>
          <w:b w:val="0"/>
        </w:rPr>
        <w:t xml:space="preserve"> enskilda egendom icke för mannens gäld, alltså icke heller den egendom, som </w:t>
      </w:r>
      <w:r>
        <w:rPr>
          <w:b/>
        </w:rPr>
        <w:t>hustrun²</w:t>
      </w:r>
      <w:r>
        <w:rPr>
          <w:b w:val="0"/>
        </w:rPr>
        <w:t xml:space="preserve"> undantagit såsom enskild genom äktenskapsförord. Men enligt den nya lagen, sådan utskottsmajoriteten föreslagit den, skulle all </w:t>
      </w:r>
      <w:r>
        <w:rPr>
          <w:b/>
        </w:rPr>
        <w:t>hustruns²</w:t>
      </w:r>
      <w:r>
        <w:rPr>
          <w:b w:val="0"/>
        </w:rPr>
        <w:t xml:space="preserve"> egendom, enskild eller giftorättsgods, komma att häfta för sådana mannens personliga utgifter.</w:t>
        <w:br/>
        <w:br/>
        <w:t>Jag tror, att det vore oriktigt att driva det formella likställighetskravet så långt i denna punkt, där den faktiska situationen makarna emellan är så olika. Jag tror, att den kungl. propositionen har dragit de riktiga konsekvenserna av denna faktiska olikhet.</w:t>
        <w:br/>
        <w:br/>
        <w:t xml:space="preserve">Herr Schlyter har, sedan han mycket.träffande har kritiserat utskottets ståndpunkt, för sin del emellertid ansett, att det skulle innebära en alltför stor risk att låta </w:t>
      </w:r>
      <w:r>
        <w:rPr>
          <w:b/>
        </w:rPr>
        <w:t>hustrun²</w:t>
      </w:r>
      <w:r>
        <w:rPr>
          <w:b w:val="0"/>
        </w:rPr>
        <w:t xml:space="preserve"> behålla den rättighet, som </w:t>
      </w:r>
      <w:r>
        <w:rPr>
          <w:b/>
        </w:rPr>
        <w:t>hon²</w:t>
      </w:r>
      <w:r>
        <w:rPr>
          <w:b w:val="0"/>
        </w:rPr>
        <w:t xml:space="preserve"> nu har, att taga varor på kredit för sina personliga behov. Såsom jag framhållit kan jag icke finna, att han i den delen av sitt anförande hade rätt. Jag tror, att man måste betänka sig mer än en gång, innan man tager tillbaka det steg, som för länge sedan är taget, då man givit </w:t>
      </w:r>
      <w:r>
        <w:rPr>
          <w:b/>
        </w:rPr>
        <w:t>hustrun²</w:t>
      </w:r>
      <w:r>
        <w:rPr>
          <w:b w:val="0"/>
        </w:rPr>
        <w:t xml:space="preserve"> en dylik krediträtt. Man måste vara desto mera betänksam, som man måste säga sig, att just åt de </w:t>
      </w:r>
      <w:r>
        <w:rPr>
          <w:b/>
        </w:rPr>
        <w:t>hustrur²</w:t>
      </w:r>
      <w:r>
        <w:rPr>
          <w:b w:val="0"/>
        </w:rPr>
        <w:t xml:space="preserve">, varom här är fråga, kommer gunås icke den nya lagen att giva så ofantligt mycket i stället, utan man kan kanske säga, att rent praktiskt sett skulle i så fall deras ställning rentav bli försämrad i förhållande till vad den för närvarande är. De bestämmelser den nya lagen för övrigt innehåller komma de kanske aldrig i tillfälle att använda till sin favör. Den enda punkt, som för en sådan </w:t>
      </w:r>
      <w:r>
        <w:rPr>
          <w:b/>
        </w:rPr>
        <w:t>hustru²</w:t>
      </w:r>
      <w:r>
        <w:rPr>
          <w:b w:val="0"/>
        </w:rPr>
        <w:t xml:space="preserve"> kanske verkligen bleve av praktisk betydelse, där skulle den innebära en strängare ståndpunkt mot </w:t>
      </w:r>
      <w:r>
        <w:rPr>
          <w:b/>
        </w:rPr>
        <w:t>hustrun²</w:t>
      </w:r>
      <w:r>
        <w:rPr>
          <w:b w:val="0"/>
        </w:rPr>
        <w:t xml:space="preserve"> än den gällande rätten.</w:t>
        <w:br/>
        <w:br/>
        <w:t>Med hänsyn till dessa omständigheter, herr talman, ber jag att få yrka bifall till den av mig med flera på denna punkt avgivna reservationen.</w:t>
      </w:r>
    </w:p>
    <w:p>
      <w:pPr>
        <w:pStyle w:val="Heading2"/>
      </w:pPr>
      <w:r>
        <w:t>2. Carl Lindhagen (–, man)</w:t>
      </w:r>
    </w:p>
    <w:p>
      <w:r>
        <w:rPr>
          <w:b w:val="0"/>
        </w:rPr>
        <w:t>Det är ganska vanskligt att på stående fot i kamrarna fatta beslut, som strida emot Kungl. Maj:ts förslag. Det är ömtåliga frågor, som det här rör och det händer så lätt, när riksdagen fattar beslut på stående fot, lockad därtill av några lättfattliga principer, att verkligheten sedan på ett mycket grymt sätt får umgälla vad riksdagen i den största hast har vidtagit.</w:t>
        <w:br/>
        <w:br/>
        <w:t xml:space="preserve">Jag föreställer mig emellertid, att kammarens flesta ledamöter under inga förhållanden vilja gå på utskottets förslag. Det kan visserligen låta lekande lätt att i jämlikhetens namn ge samma rätt för mannen och </w:t>
      </w:r>
      <w:r>
        <w:rPr>
          <w:b/>
        </w:rPr>
        <w:t>hustrun²</w:t>
      </w:r>
      <w:r>
        <w:rPr>
          <w:b w:val="0"/>
        </w:rPr>
        <w:t xml:space="preserve"> att här ikläda varandra förbindelser för personliga utgifter. Men redan det exempel, som jag i förmiddags fäste uppmärksamheten på och som har tusen sina jämlikar borde tala för att detta icke kan komma i fråga. Tänk nu, om den där latmasken och parasiten, en frisk och arbetsför man, som icke gjorde ett dugg utan bara levde på sin stackars </w:t>
      </w:r>
      <w:r>
        <w:rPr>
          <w:b/>
        </w:rPr>
        <w:t>hustrus²</w:t>
      </w:r>
      <w:r>
        <w:rPr>
          <w:b w:val="0"/>
        </w:rPr>
        <w:t xml:space="preserve"> arbete och det lilla lagret i den fattiga butiken — om han nu också skulle få köpa sig kläder, som skulle få betalas av </w:t>
      </w:r>
      <w:r>
        <w:rPr>
          <w:b/>
        </w:rPr>
        <w:t>hennes²</w:t>
      </w:r>
      <w:r>
        <w:rPr>
          <w:b w:val="0"/>
        </w:rPr>
        <w:t xml:space="preserve"> obetydliga dagskassa. Vad låge det för rättvisa i det? Jag tror, att vi böra akta oss ofantligt väl för något sådant.</w:t>
        <w:br/>
        <w:br/>
        <w:t xml:space="preserve">Å andra sidan kan man tycka, att det ur jämlikhetens synpunkt är mycket tilltalande att gå på herr Petterssons i Bjälbo linje, där man ju även fråntager </w:t>
      </w:r>
      <w:r>
        <w:rPr>
          <w:b/>
        </w:rPr>
        <w:t>hustrun²</w:t>
      </w:r>
      <w:r>
        <w:rPr>
          <w:b w:val="0"/>
        </w:rPr>
        <w:t xml:space="preserve"> den företrädesrätt </w:t>
      </w:r>
      <w:r>
        <w:rPr>
          <w:b/>
        </w:rPr>
        <w:t>hon²</w:t>
      </w:r>
      <w:r>
        <w:rPr>
          <w:b w:val="0"/>
        </w:rPr>
        <w:t xml:space="preserve"> enligt nu gällande rätt har i detta avseende, nämligen att, då </w:t>
      </w:r>
      <w:r>
        <w:rPr>
          <w:b/>
        </w:rPr>
        <w:t>hon²</w:t>
      </w:r>
      <w:r>
        <w:rPr>
          <w:b w:val="0"/>
        </w:rPr>
        <w:t xml:space="preserve"> med bindande verkan kan göra uppköp för familjens dagliga behov, </w:t>
      </w:r>
      <w:r>
        <w:rPr>
          <w:b/>
        </w:rPr>
        <w:t>hon²</w:t>
      </w:r>
      <w:r>
        <w:rPr>
          <w:b w:val="0"/>
        </w:rPr>
        <w:t xml:space="preserve"> skall också ha rättighet att köpa för sitt eget nödiga behov och mannen förpliktas att av familjens kontanta kassa betala vad </w:t>
      </w:r>
      <w:r>
        <w:rPr>
          <w:b/>
        </w:rPr>
        <w:t>hon²</w:t>
      </w:r>
      <w:r>
        <w:rPr>
          <w:b w:val="0"/>
        </w:rPr>
        <w:t xml:space="preserve"> då köper. Det är alldeles givet, att i en sådan fråga kommer naturligtvis det levande livet alltid att skapa vissa fall, då det visar sig, att lagen lett till orimliga eller icke goda resultat. Men man måste ju nöja sig med en allmän regel, och vi hava dock icke hunnit till den reella likställigheten mellan könen. Den kommer kanske en gång, då var och en har lika god kassa och därför är lika självständig. Ännu befinna vi oss i ett stadium, då det verkliga livet förhåller sig på det sättet, att det i de flesta fall är mannen, som har inkomsterna, och </w:t>
      </w:r>
      <w:r>
        <w:rPr>
          <w:b/>
        </w:rPr>
        <w:t>hustrun²</w:t>
      </w:r>
      <w:r>
        <w:rPr>
          <w:b w:val="0"/>
        </w:rPr>
        <w:t>, som får be mannen om pengar till de dagliga utgifterna. När således livet självt ställt makarna i så olika förhållanden, tror jag, att den gällande lagen gjort rätt i att anpassa sig efter livet och icke konstruera fram en likställighet, som i själva verket icke finnes. Det är mycket äventyrligt att i strid mot de faktiska förhållandena, sådana de nu äro, och gällande lags anslutning till desamma, nu på rak arm helt enkelt kasta sig över på en likställighetsschablon, som icke kan bygga på någon motsvarighet i verkligheten. Det kan i sina konsekvenser leda till orixmligheter och orättvisor — icke i det stora flertalet fall, ty där äro vi ju ense om att makarna själva reda upp sådana frågor — men i de konfliktfall, för vilka lagen vill uppställa en regel — så att jag ber att på det allvarligaste få varna för att här rusa åstad och i likställighetens namn ändra gällande rätt, som dock bygger på verklighetens fasta grund.</w:t>
        <w:br/>
        <w:br/>
        <w:t>För min egen del, herr talman, kommer jag obetingat att rösta för bifall till Kungl. Maj:ts förslag.</w:t>
      </w:r>
    </w:p>
    <w:p>
      <w:pPr>
        <w:pStyle w:val="Heading2"/>
      </w:pPr>
      <w:r>
        <w:t>3. Assar Åkerman (Socialdemokraterna, man)</w:t>
      </w:r>
    </w:p>
    <w:p>
      <w:r>
        <w:rPr>
          <w:b w:val="0"/>
        </w:rPr>
        <w:t>Herr talman! Jag ber endast att få till- Förslag till kännagiva, att om det blir votering, kommer jag att rösta för Kungl. 9iftermålsbati. Maj:ts förslag. Att jag icke har reserverat mig till förmån för detta (Forts) beror endast därpå, att jag, när utlåtandet justerades, befann mig på permission i min domsaga.</w:t>
      </w:r>
    </w:p>
    <w:p>
      <w:pPr>
        <w:pStyle w:val="Heading2"/>
      </w:pPr>
      <w:r>
        <w:t>4. Edward Larson (–, man)</w:t>
      </w:r>
    </w:p>
    <w:p>
      <w:r>
        <w:rPr>
          <w:b w:val="0"/>
        </w:rPr>
        <w:t xml:space="preserve">Inom utskottet har jag förfäktat den åsikten, att det bör råda likställighet mellan man och </w:t>
      </w:r>
      <w:r>
        <w:rPr>
          <w:b/>
        </w:rPr>
        <w:t>kvinna¹</w:t>
      </w:r>
      <w:r>
        <w:rPr>
          <w:b w:val="0"/>
        </w:rPr>
        <w:t>. Men vad det här gäller är ju egentligen krediten samt att skydda köpmannens rätt.</w:t>
        <w:br/>
        <w:br/>
        <w:t>Jag tror, att om ett äktenskap börjar söndras, kommer en sådan krediträtt att ännu mera understödja söndringen. Den ena eller andra maken kan komma att begagna sig av denna krediträtt för att ännu mera driva på söndringen. btridigheterna skulle kanske under andra förhållanden kunna ordnas, och äktenskapet skulle kanske kunna rättas till, men just genom denna krediträtt, kommer det att bli möjligt för den ena eller andra av makarna att göra söndringen ännu svårare. Under sådana förhållanden borde vi väl i alla fall tänka på att i första hand söka ordna det så, att söndringen förhindras.</w:t>
        <w:br/>
        <w:br/>
        <w:t>Jag vill tillkännagiva, att jag av dessa skäl haft för avsikt att reservera mig mot utskottets förslag och att det endast är en ren tillfällighet, som gjort, att jag icke kommit att göra det. Jag ber därför nu, herr talman, att få yrka bifall till den reservation, som är framställd av herr Pettersson i Bjälbo.</w:t>
      </w:r>
    </w:p>
    <w:p>
      <w:pPr>
        <w:pStyle w:val="Heading2"/>
      </w:pPr>
      <w:r>
        <w:t>5. Ernst Trygger (Högerns riksdagsgrupp, man)</w:t>
      </w:r>
    </w:p>
    <w:p>
      <w:r>
        <w:rPr>
          <w:b w:val="0"/>
        </w:rPr>
        <w:t>Herr greve och talman, mina herrar! Jag skall endast med några ord uttala, att jag för min del kommer att rösta för herr Petterssons i Bjälbo reservation. Jag kan icke under några förhållanden vara med om att gå den väg, som utskottet har gått, men även Kungl. Maj:ts förslag finner jag icke tilltalande, sedan makarnas förhållanden ordnats på sätt som skett i den kungl. propositionen.</w:t>
        <w:br/>
        <w:br/>
        <w:t xml:space="preserve">Därtill kommer emeilertid en annan sak. Herr statsrådet och chefen för justitiedepartementet gjorde gällande, att om man över huvud taget vill söka inskränka den s. k. konsumtionskrediten, är det icke platsen att arbeta därför genom någon bestämmelse i den här ifrågavarande lagen, utan nämnda fråga får tagas upp i annat sammanhang. Jag undrar, om icke detta är en felaktig syn på saken. Det är icke konsumtionskrediten i allmänhet, som man nu vill rikta sig mot, utan vad man riktar sig mot är att ena maken genom skuldsättning undergräver boets ekonomiska ställning, vilket är ytterst betänkligt och kan medföra även andra än ekonomiska följder av mycket svår art för det äktenskapliga samlivet. Jag anser, att när det som här gäller makarnas enskilda behov, bör icke vägen, varigenom ena maken, särskilt </w:t>
      </w:r>
      <w:r>
        <w:rPr>
          <w:b/>
        </w:rPr>
        <w:t>hustrun²</w:t>
      </w:r>
      <w:r>
        <w:rPr>
          <w:b w:val="0"/>
        </w:rPr>
        <w:t xml:space="preserve">, skaffar sig erforderliga medel, vara den, att </w:t>
      </w:r>
      <w:r>
        <w:rPr>
          <w:b/>
        </w:rPr>
        <w:t>hon²</w:t>
      </w:r>
      <w:r>
        <w:rPr>
          <w:b w:val="0"/>
        </w:rPr>
        <w:t xml:space="preserve"> anlitar krediten och på så sätt tvingar mannen att betala. Det är enligt min åsikt en felaktig väg. Man måste ha ett annat medel. Jag tror icke, att det är någon som helst risk att stanna vid vad herr Pettersson i Bjälbo har föreslagit. Jag är övertygad om att den rättighet att skuldsätta boet för tillfredsställande av sina särskilda behov, som </w:t>
      </w:r>
      <w:r>
        <w:rPr>
          <w:b/>
        </w:rPr>
        <w:t>hustrun²</w:t>
      </w:r>
      <w:r>
        <w:rPr>
          <w:b w:val="0"/>
        </w:rPr>
        <w:t xml:space="preserve"> --- enligt</w:t>
        <w:br/>
        <w:br/>
        <w:t>av familjens ekonomi. Jag ber att få yrka bifall till herr Petterssons i Bjälbo reservation.</w:t>
      </w:r>
    </w:p>
    <w:p>
      <w:pPr>
        <w:pStyle w:val="Heading2"/>
      </w:pPr>
      <w:r>
        <w:t>6. unknown (–, –)</w:t>
      </w:r>
    </w:p>
    <w:p>
      <w:r>
        <w:rPr>
          <w:b w:val="0"/>
        </w:rPr>
        <w:t xml:space="preserve">'Jag tror, att förevarande bestämmelse i den praktiska tillämpningen kommer att visa sig vara en av de mest betydelsefulla av lagens bestämmelser. Det förhåller sig nämligen så, att i de allra flesta hem i vårt land har man ingen förmögenhet, utan man lever av inkomsterna för dagen. Således måste utgifterna rättas efter boets tillgångar, såframt icke ställningen mycket snart skall objälpligt undergrävas. Vi äro alla ense om, att en man, som för ett oordentligt levnadssätt, mycket lätt kan fördärva hemmets ekonomi. En gammal erfarenhet säger oss emellertid, att hemmets ekonomiska ställning också i synnerligen hög grad är beroende av </w:t>
      </w:r>
      <w:r>
        <w:rPr>
          <w:b/>
        </w:rPr>
        <w:t>hustruns²</w:t>
      </w:r>
      <w:r>
        <w:rPr>
          <w:b w:val="0"/>
        </w:rPr>
        <w:t xml:space="preserve"> sätt att handhava de medel, som boets tillgångar medgiva </w:t>
      </w:r>
      <w:r>
        <w:rPr>
          <w:b/>
        </w:rPr>
        <w:t>henne²</w:t>
      </w:r>
      <w:r>
        <w:rPr>
          <w:b w:val="0"/>
        </w:rPr>
        <w:t xml:space="preserve"> att disponera. Ett gammalt ordspråk säger, att </w:t>
      </w:r>
      <w:r>
        <w:rPr>
          <w:b/>
        </w:rPr>
        <w:t>hustrun²</w:t>
      </w:r>
      <w:r>
        <w:rPr>
          <w:b w:val="0"/>
        </w:rPr>
        <w:t xml:space="preserve"> bygger hemmets välstånd, och jag tror, att det ligger en djup sanning däri, om nämligen </w:t>
      </w:r>
      <w:r>
        <w:rPr>
          <w:b/>
        </w:rPr>
        <w:t>hustrun²</w:t>
      </w:r>
      <w:r>
        <w:rPr>
          <w:b w:val="0"/>
        </w:rPr>
        <w:t xml:space="preserve"> är klok och förståndig. Men i motsatt fall äventyras i lika hög grad detta välstånd. Den som i likhet med mig i många år har utövat domarverksamhet vet, att i ofantligt många fall hemmets ekonomi undergräves just genom </w:t>
      </w:r>
      <w:r>
        <w:rPr>
          <w:b/>
        </w:rPr>
        <w:t>hustruns²</w:t>
      </w:r>
      <w:r>
        <w:rPr>
          <w:b w:val="0"/>
        </w:rPr>
        <w:t xml:space="preserve"> åtgörande att på ett oförståndigt vis belasta hemmet med gäld. Männen försöka stundom skydda sig mot sådant genom tillkännagivande i tidningarna, att de icke betala sin </w:t>
      </w:r>
      <w:r>
        <w:rPr>
          <w:b/>
        </w:rPr>
        <w:t>hustrus²</w:t>
      </w:r>
      <w:r>
        <w:rPr>
          <w:b w:val="0"/>
        </w:rPr>
        <w:t xml:space="preserve"> skulder. Effekten av ett sådant tillkännagivande är dock tvivelaktig. Skulle emellertid de bestämmelser, som här föreslås vare sig av utskottet eller av Kungl. Maj:t, bli gällande lag, komme alldeles givet ett större spelrum att lämnas för en obetänksam husmoder att för sina enskilda behov belasta hemmet med gäld, och jag tror icke, att detta bör uppmuntras. Är förhållandet i äktenskapet gott, tror jag icke, att </w:t>
      </w:r>
      <w:r>
        <w:rPr>
          <w:b/>
        </w:rPr>
        <w:t>hustrun²</w:t>
      </w:r>
      <w:r>
        <w:rPr>
          <w:b w:val="0"/>
        </w:rPr>
        <w:t xml:space="preserve"> på något sätt kommer att sakna vad </w:t>
      </w:r>
      <w:r>
        <w:rPr>
          <w:b/>
        </w:rPr>
        <w:t>hon²</w:t>
      </w:r>
      <w:r>
        <w:rPr>
          <w:b w:val="0"/>
        </w:rPr>
        <w:t xml:space="preserve"> behöver. När däremot förhållandet blir mindre gott, får </w:t>
      </w:r>
      <w:r>
        <w:rPr>
          <w:b/>
        </w:rPr>
        <w:t>hon²</w:t>
      </w:r>
      <w:r>
        <w:rPr>
          <w:b w:val="0"/>
        </w:rPr>
        <w:t xml:space="preserve"> kanske ett vapen i händerna, som kan bli mycket farligt. Jag skulle icke vilja tillråda, att man bifaller vare sig vad Kungl. Maj:t eller vad utskottet föreslagit, utan jag kommer att rösta för den reservation, som är avgiven av herr Pettersson i Bjälbo. Jag tror, att denna bäst överensstämmer med den uppfattning, som man i allmänhet har, av nödvändigheten att skona de små hemmens tillgångar och medel till hemmets gemensamma bästa.</w:t>
      </w:r>
    </w:p>
    <w:p>
      <w:pPr>
        <w:pStyle w:val="Heading2"/>
      </w:pPr>
      <w:r>
        <w:t>7. Frits Lindqvist (Socialdemokraterna, man)</w:t>
      </w:r>
    </w:p>
    <w:p>
      <w:r>
        <w:rPr>
          <w:b w:val="0"/>
        </w:rPr>
        <w:t>Herr greve och talman! Jag har icke för vana att giva mig in på andras klöveråkrar. Då detta närmast</w:t>
        <w:br/>
        <w:br/>
        <w:t xml:space="preserve">är en juristfråga, skall jag därför icke upptaga tiden alltför länge. Mitt förstånd och min erfarenhet av livet har emellertid sagt mig, att det nog icke alltid är så, att den juridiska formen, sådan den fått uttryck i lagtexten, alltid är den allra riktigaste och bästa. Det är alldeles riktigt, som några talare framhållit, att det ju här icke gäller att lagstifta för lyckliga äktenskap, ty där ordnas dessa förhållanden på ett så pass kollegialt sätt, att lagen icke behöver träda emellan. Det gäller ju här sådana fall, där detta lyckliga förhållande icke råder, utan där tråkigheter uppstå. Jag måste då säga mig, att sådana tråkigheter uppstå likaväl bland de breda befolkningslagren som bland de högre samhällsklasserna. Jag kan för min del icke finna, att man går </w:t>
      </w:r>
      <w:r>
        <w:rPr>
          <w:b/>
        </w:rPr>
        <w:t>kvinnornas¹</w:t>
      </w:r>
      <w:r>
        <w:rPr>
          <w:b w:val="0"/>
        </w:rPr>
        <w:t xml:space="preserve"> rätt för nära eller sätter den åsido, om man nekar dem att självrådigt få köpa varor för sina särskilda behov, som mannen sedermera får betala. Herr statsrådet säger så bevekande, »att det ju kan vara en fattig </w:t>
      </w:r>
      <w:r>
        <w:rPr>
          <w:b/>
        </w:rPr>
        <w:t>hustru²</w:t>
      </w:r>
      <w:r>
        <w:rPr>
          <w:b w:val="0"/>
        </w:rPr>
        <w:t xml:space="preserve">, som kan behöva köpa sig en klänning eller ett par skor, och nog vore det väl rimligt, att </w:t>
      </w:r>
      <w:r>
        <w:rPr>
          <w:b/>
        </w:rPr>
        <w:t>hon²</w:t>
      </w:r>
      <w:r>
        <w:rPr>
          <w:b w:val="0"/>
        </w:rPr>
        <w:t xml:space="preserve"> skulle få det». Ja, herr statsrådet, i lyckliga äktenskap pläga man och </w:t>
      </w:r>
      <w:r>
        <w:rPr>
          <w:b/>
        </w:rPr>
        <w:t>hustru²</w:t>
      </w:r>
      <w:r>
        <w:rPr>
          <w:b w:val="0"/>
        </w:rPr>
        <w:t xml:space="preserve"> rådgöra i sådana saker, och då går det nog i allmänhet rätt bra att ordna saken. Men det är naturligtvis icke uteslutet, att en sådan fattig </w:t>
      </w:r>
      <w:r>
        <w:rPr>
          <w:b/>
        </w:rPr>
        <w:t>hustru²</w:t>
      </w:r>
      <w:r>
        <w:rPr>
          <w:b w:val="0"/>
        </w:rPr>
        <w:t xml:space="preserve"> också kan missbruka sin rätt att köpa på kredit genom att dagen därpå gå och pantsätta vad </w:t>
      </w:r>
      <w:r>
        <w:rPr>
          <w:b/>
        </w:rPr>
        <w:t>hon²</w:t>
      </w:r>
      <w:r>
        <w:rPr>
          <w:b w:val="0"/>
        </w:rPr>
        <w:t xml:space="preserve"> köpt. Sådana förhållanden äro icke alls otänkbara. Jag har därmed icke velat säga, att </w:t>
      </w:r>
      <w:r>
        <w:rPr>
          <w:b/>
        </w:rPr>
        <w:t>kvinnorna¹</w:t>
      </w:r>
      <w:r>
        <w:rPr>
          <w:b w:val="0"/>
        </w:rPr>
        <w:t xml:space="preserve"> äro sämre än männen, utan endast velat framhålla, att jag tycker, att det kan vara rimligt och riktigt, att man kommer överens om sådana saker, och där man icke kan komma överens, bör man icke lämna den ena parten rätt att skaffa sig varor på kredit och sedan tilltvinga sig betalning ur den andras tillgångar. Med de erfarenheter jag har i detta fall tror jag, att det skulle vara lyckligast att bifalla den av herr Pettersson i Bjälbo avgivna reservationen, till vilken jag, herr greve och talman, ber att få yrka bifall.</w:t>
      </w:r>
    </w:p>
    <w:p>
      <w:pPr>
        <w:pStyle w:val="Heading2"/>
      </w:pPr>
      <w:r>
        <w:t>8. Ernst Klefbeck (Socialdemokraterna, man)</w:t>
      </w:r>
    </w:p>
    <w:p>
      <w:r>
        <w:rPr>
          <w:b w:val="0"/>
        </w:rPr>
        <w:t xml:space="preserve">Herr talman! Det var ett yttrande av min högt värderade granne, som uppkallade mig. Han talade om att denna paragraf enligt Kungl. Maj:ts proposition skulle möjliggöra för </w:t>
      </w:r>
      <w:r>
        <w:rPr>
          <w:b/>
        </w:rPr>
        <w:t>hustrun²</w:t>
      </w:r>
      <w:r>
        <w:rPr>
          <w:b w:val="0"/>
        </w:rPr>
        <w:t xml:space="preserve"> att köpa all möjlig bjäfs och grannlåt på kredit, som mannen sedan skulle få betala. Jag vill då till att börja med påpeka, vad som här redan har sagts, att </w:t>
      </w:r>
      <w:r>
        <w:rPr>
          <w:b/>
        </w:rPr>
        <w:t>hustrun²</w:t>
      </w:r>
      <w:r>
        <w:rPr>
          <w:b w:val="0"/>
        </w:rPr>
        <w:t xml:space="preserve"> enligt nu gällande lag har rättighet att tillhandla sig förnödenhetsvaror på kredit, och r ha tyckt det vara svårt att beröva henna en rätt, som </w:t>
      </w:r>
      <w:r>
        <w:rPr>
          <w:b/>
        </w:rPr>
        <w:t>hon²</w:t>
      </w:r>
      <w:r>
        <w:rPr>
          <w:b w:val="0"/>
        </w:rPr>
        <w:t xml:space="preserve"> redan</w:t>
        <w:br/>
        <w:br/>
        <w:t xml:space="preserve">Vidare vill jag påpeka, att enligt denna paragraf det nog aldrig kan komma i fråga, att </w:t>
      </w:r>
      <w:r>
        <w:rPr>
          <w:b/>
        </w:rPr>
        <w:t>hon²</w:t>
      </w:r>
      <w:r>
        <w:rPr>
          <w:b w:val="0"/>
        </w:rPr>
        <w:t xml:space="preserve"> skulle få köpa bjäfs och grannlåt, ty paragrafen handlar om </w:t>
      </w:r>
      <w:r>
        <w:rPr>
          <w:b/>
        </w:rPr>
        <w:t>hennes²</w:t>
      </w:r>
      <w:r>
        <w:rPr>
          <w:b w:val="0"/>
        </w:rPr>
        <w:t xml:space="preserve"> särskilda behov, sådana som sedvanligen förekomma inom den sociala miljö, inom vilken </w:t>
      </w:r>
      <w:r>
        <w:rPr>
          <w:b/>
        </w:rPr>
        <w:t>hon²</w:t>
      </w:r>
      <w:r>
        <w:rPr>
          <w:b w:val="0"/>
        </w:rPr>
        <w:t xml:space="preserve"> lever, och i andra stycket av samma paragraf utsäges tydligt, att rättsbandlingen icke är förpliktande för andra maken, om den som sålde bort inse, att det som anskaffades icke var erforderligt. Och därtill komma i följande paragraf bestämmelser om hur man skall gå</w:t>
        <w:br/>
        <w:br/>
        <w:t>tillväga, om maken missbrukar den rätt, som gives genom 12 paragrafen. Jag ber därför att fortfarande få yrka bifall till Kungl. Maj:ts proposition.</w:t>
      </w:r>
    </w:p>
    <w:p>
      <w:pPr>
        <w:pStyle w:val="Heading2"/>
      </w:pPr>
      <w:r>
        <w:t>9. Adam Hult (Liberala samlingspartiet, man)</w:t>
      </w:r>
    </w:p>
    <w:p>
      <w:r>
        <w:rPr>
          <w:b w:val="0"/>
        </w:rPr>
        <w:t xml:space="preserve">Det förefaller mig, herr greve och talman, som om man något överdriver de farhågor, som här uttalats under denna debatt i fråga om </w:t>
      </w:r>
      <w:r>
        <w:rPr>
          <w:b/>
        </w:rPr>
        <w:t>hustruns²</w:t>
      </w:r>
      <w:r>
        <w:rPr>
          <w:b w:val="0"/>
        </w:rPr>
        <w:t xml:space="preserve"> rätt att skuldsätta boet. Om man något reflekterar över hur det skulle komma att ställa sig i praktiken om reservationen antages och blir lag, tror jag icke man kan undgå att finna, att, i de fall </w:t>
      </w:r>
      <w:r>
        <w:rPr>
          <w:b/>
        </w:rPr>
        <w:t>hustru²</w:t>
      </w:r>
      <w:r>
        <w:rPr>
          <w:b w:val="0"/>
        </w:rPr>
        <w:t xml:space="preserve"> på kredit gör uppköp för familjens behov, fråga kunde komma att uppstå huruvida icke en del varor kommit till användning endast för </w:t>
      </w:r>
      <w:r>
        <w:rPr>
          <w:b/>
        </w:rPr>
        <w:t>hustruns²</w:t>
      </w:r>
      <w:r>
        <w:rPr>
          <w:b w:val="0"/>
        </w:rPr>
        <w:t xml:space="preserve"> särskilda behov, och för vilka varor betalning icke skulle kunna utkrävas av mannen, som dock i regel ensam har möjlighet att bereda sig kontant inkomst. Detta skulle ju onekligen föranleda rätt besynnerliga konsekvenser, som jag särskilt med hänsyn till tredje mans intresse anser böra undvikas. Nu vill jag gärna medge, att det kan anföras skäl för bägge de ståndpunkter, som här stå mot varandra, men nog bör man väl ändå i denna lagstiftning åt </w:t>
      </w:r>
      <w:r>
        <w:rPr>
          <w:b/>
        </w:rPr>
        <w:t>hustru²</w:t>
      </w:r>
      <w:r>
        <w:rPr>
          <w:b w:val="0"/>
        </w:rPr>
        <w:t xml:space="preserve"> inrymma samma rätt som </w:t>
      </w:r>
      <w:r>
        <w:rPr>
          <w:b/>
        </w:rPr>
        <w:t>hon²</w:t>
      </w:r>
      <w:r>
        <w:rPr>
          <w:b w:val="0"/>
        </w:rPr>
        <w:t xml:space="preserve"> hittills haft, nämligen att för boets medel tillhandla sig även det </w:t>
      </w:r>
      <w:r>
        <w:rPr>
          <w:b/>
        </w:rPr>
        <w:t>hon²</w:t>
      </w:r>
      <w:r>
        <w:rPr>
          <w:b w:val="0"/>
        </w:rPr>
        <w:t xml:space="preserve"> behöver för sin enskilda del.</w:t>
        <w:br/>
        <w:br/>
        <w:t>Jag ber, herr talman, att få yrka bifall till Kungl. Maj:ts förslag, då jag som sagt anser, att man betydligt överdriver de farhågor, som man förmenar skulle bliva en följd av ett bifall till detta förslag. :</w:t>
        <w:br/>
        <w:br/>
        <w:t xml:space="preserve">Hwustrun erhåller med vigseln mannens släktnamn; dock må </w:t>
      </w:r>
      <w:r>
        <w:rPr>
          <w:b/>
        </w:rPr>
        <w:t>hon²</w:t>
      </w:r>
      <w:r>
        <w:rPr>
          <w:b w:val="0"/>
        </w:rPr>
        <w:t xml:space="preserve"> bära sitt eget och mannens namn i förening, om </w:t>
      </w:r>
      <w:r>
        <w:rPr>
          <w:b/>
        </w:rPr>
        <w:t>hon²</w:t>
      </w:r>
      <w:r>
        <w:rPr>
          <w:b w:val="0"/>
        </w:rPr>
        <w:t xml:space="preserve"> gör anmälan därom i den ordning Konungen bestämmer.</w:t>
        <w:br/>
        <w:br/>
      </w:r>
      <w:r>
        <w:rPr>
          <w:b/>
        </w:rPr>
        <w:t>Hustrun²</w:t>
      </w:r>
      <w:r>
        <w:rPr>
          <w:b w:val="0"/>
        </w:rPr>
        <w:t xml:space="preserve"> erhåller med vigseln mannens släktnamn; dock må </w:t>
      </w:r>
      <w:r>
        <w:rPr>
          <w:b/>
        </w:rPr>
        <w:t>hon²</w:t>
      </w:r>
      <w:r>
        <w:rPr>
          <w:b w:val="0"/>
        </w:rPr>
        <w:t xml:space="preserve"> bära sitt eget eller sitt eget och mannens i förening, om </w:t>
      </w:r>
      <w:r>
        <w:rPr>
          <w:b/>
        </w:rPr>
        <w:t>hon²</w:t>
      </w:r>
      <w:r>
        <w:rPr>
          <w:b w:val="0"/>
        </w:rPr>
        <w:t xml:space="preserve"> gör anmälan därom i den ordning Konungen bestämmer.</w:t>
      </w:r>
    </w:p>
    <w:p>
      <w:pPr>
        <w:pStyle w:val="Heading2"/>
      </w:pPr>
      <w:r>
        <w:t>10. Mauritz Hellberg (Liberala riksdagspartiet, man)</w:t>
      </w:r>
    </w:p>
    <w:p>
      <w:r>
        <w:rPr>
          <w:b w:val="0"/>
        </w:rPr>
        <w:t>Herr talman! Jag har väckt en motion, vari yrkas ändring i det kungl. förslaget på denna punkt.</w:t>
        <w:br/>
        <w:br/>
        <w:t xml:space="preserve">Motionen har tillkommit på tillskyndan av den </w:t>
      </w:r>
      <w:r>
        <w:rPr>
          <w:b/>
        </w:rPr>
        <w:t>kvinnliga¹</w:t>
      </w:r>
      <w:r>
        <w:rPr>
          <w:b w:val="0"/>
        </w:rPr>
        <w:t xml:space="preserve"> minoritet, som närmast beröres av den fråga, som här föreligger. Det är från samma minoritet, representerad av ett 80-tal personer, som den adress utgått, vilken delats omkring här i kammaren och var undertecknarna uttala sig mot »det principiellt oriktiga och i många fall olämpliga i att en kategorisk och ovillkorlig bestämmelse beträffande gift </w:t>
      </w:r>
      <w:r>
        <w:rPr>
          <w:b/>
        </w:rPr>
        <w:t>kvinnas¹</w:t>
      </w:r>
      <w:r>
        <w:rPr>
          <w:b w:val="0"/>
        </w:rPr>
        <w:t xml:space="preserve"> rätt till släktnamn införes, innebärande en inskränkning i </w:t>
      </w:r>
      <w:r>
        <w:rPr>
          <w:b/>
        </w:rPr>
        <w:t>hennes²</w:t>
      </w:r>
      <w:r>
        <w:rPr>
          <w:b w:val="0"/>
        </w:rPr>
        <w:t xml:space="preserve"> för närvarande av tvingande lagbud icke inskränkta rätt att såsom släktnamn fortfarande under äktenskap bära det namn </w:t>
      </w:r>
      <w:r>
        <w:rPr>
          <w:b/>
        </w:rPr>
        <w:t>hon²</w:t>
      </w:r>
      <w:r>
        <w:rPr>
          <w:b w:val="0"/>
        </w:rPr>
        <w:t xml:space="preserve"> haft såsom ogift». Jag beklagar blott, mina herrar, att inte någon av dessa representanter för den nämnda </w:t>
      </w:r>
      <w:r>
        <w:rPr>
          <w:b/>
        </w:rPr>
        <w:t>kvinnliga¹</w:t>
      </w:r>
      <w:r>
        <w:rPr>
          <w:b w:val="0"/>
        </w:rPr>
        <w:t xml:space="preserve"> minoriteten här själv kan föra dess talan; jag är övertygad om, att </w:t>
      </w:r>
      <w:r>
        <w:rPr>
          <w:b/>
        </w:rPr>
        <w:t>hon²</w:t>
      </w:r>
      <w:r>
        <w:rPr>
          <w:b w:val="0"/>
        </w:rPr>
        <w:t xml:space="preserve"> skulle göra det på ett mycket bättre och mera övertygande sätt än jag förmår.</w:t>
        <w:br/>
        <w:br/>
        <w:t xml:space="preserve">Det gäller här, såsom av det upplästa stycket av adressen framgår, att fråntaga </w:t>
      </w:r>
      <w:r>
        <w:rPr>
          <w:b/>
        </w:rPr>
        <w:t>kvinnorna¹</w:t>
      </w:r>
      <w:r>
        <w:rPr>
          <w:b w:val="0"/>
        </w:rPr>
        <w:t xml:space="preserve"> en urgammal rätt, som satt märken i vår historia, fråntaga dem den rätten i en tid, då denna rätt synes vara vida mer behövlig än den förut varit, och detta genom en lagstiftning, som i övrigt avser att utvidga deras rättigheter. Detta sy-</w:t>
        <w:br/>
        <w:br/>
        <w:t xml:space="preserve">nes mig vara &amp; underlig motsägelse. Jag tillåter mig citera ett uttryck ur min motion: »Om den rätten förut varit </w:t>
      </w:r>
      <w:r>
        <w:rPr>
          <w:b/>
        </w:rPr>
        <w:t>kvinnorna¹</w:t>
      </w:r>
      <w:r>
        <w:rPr>
          <w:b w:val="0"/>
        </w:rPr>
        <w:t xml:space="preserve"> förmenad, hade det varit i sin ordning att nu införa den i den nya äktenskapslagen. Men när </w:t>
      </w:r>
      <w:r>
        <w:rPr>
          <w:b/>
        </w:rPr>
        <w:t>hon²</w:t>
      </w:r>
      <w:r>
        <w:rPr>
          <w:b w:val="0"/>
        </w:rPr>
        <w:t xml:space="preserve"> nu i stället äger den, blir det en desto besynnerligare motsägelse att borttaga den genom en lag, som i övrigt avser att öka </w:t>
      </w:r>
      <w:r>
        <w:rPr>
          <w:b/>
        </w:rPr>
        <w:t>hennes²</w:t>
      </w:r>
      <w:r>
        <w:rPr>
          <w:b w:val="0"/>
        </w:rPr>
        <w:t xml:space="preserve"> självständighet.» Utskottets egentliga skäl för att fråntaga </w:t>
      </w:r>
      <w:r>
        <w:rPr>
          <w:b/>
        </w:rPr>
        <w:t>kvinnan¹</w:t>
      </w:r>
      <w:r>
        <w:rPr>
          <w:b w:val="0"/>
        </w:rPr>
        <w:t xml:space="preserve"> denna urgamla rätt angives sålunda: »den personliga gemenskap mellan makarna, som äktenskapet medför, bör erhålla sitt uttryck däri, att bägge makarna hava samma släktnamn». Jag kan i allmänhet erkänna det berättigade häri. Men det väsentliga är dock, att gemenskapen i äktenskapet finnes, inte att den nämnes. Och framför allt synes mig dess uttryck i namn inte vara så viktigt, att det bör öva våld på individens rätt och frihet. Nu tröstar utskottet med att det inte är så farligt: det gäller ju endast </w:t>
      </w:r>
      <w:r>
        <w:rPr>
          <w:b/>
        </w:rPr>
        <w:t>kvinnans¹</w:t>
      </w:r>
      <w:r>
        <w:rPr>
          <w:b w:val="0"/>
        </w:rPr>
        <w:t xml:space="preserve"> borgerliga namn, heter det i utskottets motivering för avslag. Det förefaller mig dock, att det är en ganska klen tröst. Utskottet fäster sig blott vid de i detta avseende mindre besvärliga fallen, vid </w:t>
      </w:r>
      <w:r>
        <w:rPr>
          <w:b/>
        </w:rPr>
        <w:t>kvinnliga¹</w:t>
      </w:r>
      <w:r>
        <w:rPr>
          <w:b w:val="0"/>
        </w:rPr>
        <w:t xml:space="preserve"> författare och konstnärer. Och det förstår jag mycket väl, att det inte är meningen, att en </w:t>
      </w:r>
      <w:r>
        <w:rPr>
          <w:b/>
        </w:rPr>
        <w:t>kvinnlig¹</w:t>
      </w:r>
      <w:r>
        <w:rPr>
          <w:b w:val="0"/>
        </w:rPr>
        <w:t xml:space="preserve"> skriftställare skall för framtiden förbjudas att använda sitt </w:t>
      </w:r>
      <w:r>
        <w:rPr>
          <w:b/>
        </w:rPr>
        <w:t>flicknamn²</w:t>
      </w:r>
      <w:r>
        <w:rPr>
          <w:b w:val="0"/>
        </w:rPr>
        <w:t xml:space="preserve"> som nom de plume. Det förstår jag, att likaväl som det är tillåtet för en </w:t>
      </w:r>
      <w:r>
        <w:rPr>
          <w:b/>
        </w:rPr>
        <w:t>kvinnlig¹</w:t>
      </w:r>
      <w:r>
        <w:rPr>
          <w:b w:val="0"/>
        </w:rPr>
        <w:t xml:space="preserve"> skribent att använda en pseudonym bör </w:t>
      </w:r>
      <w:r>
        <w:rPr>
          <w:b/>
        </w:rPr>
        <w:t>hon²</w:t>
      </w:r>
      <w:r>
        <w:rPr>
          <w:b w:val="0"/>
        </w:rPr>
        <w:t xml:space="preserve"> också få använda sitt </w:t>
      </w:r>
      <w:r>
        <w:rPr>
          <w:b/>
        </w:rPr>
        <w:t>flicknamn²</w:t>
      </w:r>
      <w:r>
        <w:rPr>
          <w:b w:val="0"/>
        </w:rPr>
        <w:t xml:space="preserve"> —- jag förstår, att sådana företeelser som René och Marika Stjernstedt inte skulle bliva förbjudna i framtiden. Men det är just när det är fråga om borgerliga yrkesidkare, som frågan blir av större vikt, när det blir fråga om </w:t>
      </w:r>
      <w:r>
        <w:rPr>
          <w:b/>
        </w:rPr>
        <w:t>kvinnor¹</w:t>
      </w:r>
      <w:r>
        <w:rPr>
          <w:b w:val="0"/>
        </w:rPr>
        <w:t xml:space="preserve">, som driva affärsverksamhet, </w:t>
      </w:r>
      <w:r>
        <w:rPr>
          <w:b/>
        </w:rPr>
        <w:t>kvinnliga¹</w:t>
      </w:r>
      <w:r>
        <w:rPr>
          <w:b w:val="0"/>
        </w:rPr>
        <w:t xml:space="preserve"> läkare och liknande. Sådana som då skapat sig en ställning under eget namn före inträdet i äktenskapet skola nu efter denna lag bliva tvungna att uppgiva detta namn. Låt oss som exempel taga en </w:t>
      </w:r>
      <w:r>
        <w:rPr>
          <w:b/>
        </w:rPr>
        <w:t>kvinnlig¹</w:t>
      </w:r>
      <w:r>
        <w:rPr>
          <w:b w:val="0"/>
        </w:rPr>
        <w:t xml:space="preserve"> läkare. </w:t>
      </w:r>
      <w:r>
        <w:rPr>
          <w:b/>
        </w:rPr>
        <w:t>Hon²</w:t>
      </w:r>
      <w:r>
        <w:rPr>
          <w:b w:val="0"/>
        </w:rPr>
        <w:t xml:space="preserve"> har skaffat sig ett namn och en klientel, som känner detta namn. Om </w:t>
      </w:r>
      <w:r>
        <w:rPr>
          <w:b/>
        </w:rPr>
        <w:t>hon²</w:t>
      </w:r>
      <w:r>
        <w:rPr>
          <w:b w:val="0"/>
        </w:rPr>
        <w:t xml:space="preserve"> nu gifter sig, kan </w:t>
      </w:r>
      <w:r>
        <w:rPr>
          <w:b/>
        </w:rPr>
        <w:t>hon²</w:t>
      </w:r>
      <w:r>
        <w:rPr>
          <w:b w:val="0"/>
        </w:rPr>
        <w:t xml:space="preserve"> behålla detta namn. </w:t>
      </w:r>
      <w:r>
        <w:rPr>
          <w:b/>
        </w:rPr>
        <w:t>Hon²</w:t>
      </w:r>
      <w:r>
        <w:rPr>
          <w:b w:val="0"/>
        </w:rPr>
        <w:t xml:space="preserve"> kan använda det i alla fall, även vid officiella tillfällen, </w:t>
      </w:r>
      <w:r>
        <w:rPr>
          <w:b/>
        </w:rPr>
        <w:t>hon²</w:t>
      </w:r>
      <w:r>
        <w:rPr>
          <w:b w:val="0"/>
        </w:rPr>
        <w:t xml:space="preserve"> kan med det underteckna sina recept, sina framställningar till medicinalstyrelsen, hälsovårdsnämnden och så vidare. Det förekommer ju veterligen åtskilliga sådana fall. Det är numera inte något ovanligt. att så kallade kamratäktenskap ingås, att en </w:t>
      </w:r>
      <w:r>
        <w:rPr>
          <w:b/>
        </w:rPr>
        <w:t>kvinnlig¹</w:t>
      </w:r>
      <w:r>
        <w:rPr>
          <w:b w:val="0"/>
        </w:rPr>
        <w:t xml:space="preserve"> och en manlig läkare gifta sig med varandra. Om de få ett gemensamt namn, så ligger det i sakens natur, att detta lätt kan föranleda förvecklingar och missförstånd. De hava kanske olika specialitéer. En av dem blir påringd, och den andra svarar i tro, att det är honom patienten söker. Så blir det trassel och krångel — det kan hända, att ett hundratal påringningar om dagen förekomma, om då i varje fall måste klargöras om det är den ene eller den andre doktorn av samma namn som sökes, så är det klart, att detta blir en stor olägenhet.</w:t>
        <w:br/>
        <w:br/>
        <w:t xml:space="preserve">Nu har utskottet menat. att all rättfärdighet är uppfylld genom den möjlighet, som anvisats i det kungl. förslaget, att en </w:t>
      </w:r>
      <w:r>
        <w:rPr>
          <w:b/>
        </w:rPr>
        <w:t>kvinna¹</w:t>
      </w:r>
      <w:r>
        <w:rPr>
          <w:b w:val="0"/>
        </w:rPr>
        <w:t xml:space="preserve"> kan på särskild anmälan få behålla sitt namn tillsammans med mannens. Jag tror emellertid att även detta är en ganska dålig</w:t>
        <w:br/>
        <w:br/>
        <w:t>utväg. Först och främst är det min mening, som jag i motionen Förslag till sagt, att sådana där dubbelnamn äro ett oting. I synnerhet om det giftermålabalk. är långa namn, blir det nästan omöjligt att använda dem i prakti- (Eorts:) ken — det visar sig, att i regel använder man, där sådana dubbel-</w:t>
        <w:br/>
        <w:br/>
        <w:t>namn förekomma, endast det senare. Det är också givet, att om så</w:t>
        <w:br/>
        <w:br/>
        <w:t>sker, så kunna precis samma förvecklingar, som jag förut antytt, förekomma även i detta fall.</w:t>
        <w:br/>
        <w:br/>
        <w:t>Det synes mig, att det finnes inget som helst giltigt skäl, varför den ordning, som rått hittilldags, skall upphävas. Den har inte, det vågar jag påstå, medfört något slags förargelse eller något slags menliga inverkningar. Det enda utskottet anfört som bevis för att den skulle vara menlig, det är, att en förändring gjort sig kännbur med hänsyn till det alltmer utvidgade statliga försäkringsväsendet. Jag får säga, mina herrar, att det tycker jag verkligen är ett mycket svagt skäl: att nu en gammal rättighet skall uppoffras bara för att den kan vara förenad med ett eller annat litet obehag i fråga om försäkringsväsendet. När man i fråga om mantalsskrivning och kyrkoskrivning får lov att finna sig tillrätta med så trassliga förhållaniden som de, vilka uppstå genom tjänstefolks ideliga flyttningar, då Se jag säga, att ett sådant skäl som detta förefaller rent ut sagt löjligt.</w:t>
        <w:br/>
        <w:br/>
        <w:t xml:space="preserve">Jag kan inte se, att något verkligt annat skäl föreligger än det, som en av de med detta förslag missbelåtna </w:t>
      </w:r>
      <w:r>
        <w:rPr>
          <w:b/>
        </w:rPr>
        <w:t>kvinnorna¹</w:t>
      </w:r>
      <w:r>
        <w:rPr>
          <w:b w:val="0"/>
        </w:rPr>
        <w:t xml:space="preserve"> för mig gav uttryck åt i de orden: det skall förstås vara preussisk uniformitet! Jag tycker, att det vore den svenska representationen värdigare, det vore mera humant, mer kultiverat att i detta fall hävda regeln men ge plats för undantagen. För min del anser jag, som jag 1 motionen sagt: »att bibehålla det namn, man en gång fått, bör vara vars och ens, varje </w:t>
      </w:r>
      <w:r>
        <w:rPr>
          <w:b/>
        </w:rPr>
        <w:t>kvinnas¹</w:t>
      </w:r>
      <w:r>
        <w:rPr>
          <w:b w:val="0"/>
        </w:rPr>
        <w:t xml:space="preserve"> liksom också varje mans, rättighet. Det har varit så hittills, och det bör så förbli». När utskottet i sin allmänna motivering så varmt hämdar, att en </w:t>
      </w:r>
      <w:r>
        <w:rPr>
          <w:b/>
        </w:rPr>
        <w:t>hustru²</w:t>
      </w:r>
      <w:r>
        <w:rPr>
          <w:b w:val="0"/>
        </w:rPr>
        <w:t xml:space="preserve"> bör råda över sin egendom, då tycker jag verkligen. att det med skäl kan krävas, att </w:t>
      </w:r>
      <w:r>
        <w:rPr>
          <w:b/>
        </w:rPr>
        <w:t>hon²</w:t>
      </w:r>
      <w:r>
        <w:rPr>
          <w:b w:val="0"/>
        </w:rPr>
        <w:t xml:space="preserve"> också bör få råda över sitt namn. Jag är fullkomligt övertygad om, att i de allra flesta fall kommer </w:t>
      </w:r>
      <w:r>
        <w:rPr>
          <w:b/>
        </w:rPr>
        <w:t>hon²</w:t>
      </w:r>
      <w:r>
        <w:rPr>
          <w:b w:val="0"/>
        </w:rPr>
        <w:t xml:space="preserve"> i alla fall enligt gammal tradition att uppge det och antaga mannens. Så är det ju nu i det alldeles övervägande antalet fall, och så kommer det tvivelsutan att förbliva, i varje fall inom överskådlig tid. Men om i enstaka fall på särskilda skäl </w:t>
      </w:r>
      <w:r>
        <w:rPr>
          <w:b/>
        </w:rPr>
        <w:t>hon²</w:t>
      </w:r>
      <w:r>
        <w:rPr>
          <w:b w:val="0"/>
        </w:rPr>
        <w:t xml:space="preserve"> anser det vara för sig förmånligt eller viktigt att ja behålla sitt namn, varför skall man då tvinga </w:t>
      </w:r>
      <w:r>
        <w:rPr>
          <w:b/>
        </w:rPr>
        <w:t>henne²</w:t>
      </w:r>
      <w:r>
        <w:rPr>
          <w:b w:val="0"/>
        </w:rPr>
        <w:t xml:space="preserve"> att uppge det?</w:t>
        <w:br/>
        <w:br/>
        <w:t>Det synes mig, att den enda reservanten i utskottet, utskottets ärade ordförande, har givit den paragraf, som här skall insättas, den lyckligaste formuleringen, när han föreslagit följande: »</w:t>
      </w:r>
      <w:r>
        <w:rPr>
          <w:b/>
        </w:rPr>
        <w:t>Hustrun²</w:t>
      </w:r>
      <w:r>
        <w:rPr>
          <w:b w:val="0"/>
        </w:rPr>
        <w:t xml:space="preserve"> erhåller med vigseln mannens släktnamn; dock må </w:t>
      </w:r>
      <w:r>
        <w:rPr>
          <w:b/>
        </w:rPr>
        <w:t>hon²</w:t>
      </w:r>
      <w:r>
        <w:rPr>
          <w:b w:val="0"/>
        </w:rPr>
        <w:t xml:space="preserve"> bära sitt eget eller sitt eget och mannens namn i förening, om </w:t>
      </w:r>
      <w:r>
        <w:rPr>
          <w:b/>
        </w:rPr>
        <w:t>hon²</w:t>
      </w:r>
      <w:r>
        <w:rPr>
          <w:b w:val="0"/>
        </w:rPr>
        <w:t xml:space="preserve"> gör anmälan därom i den ordning Konungen bestämmer.» — Detta synes mig vara det riktiga. Man stadgar regeln först klart och bestämt, men medger sedan undantag, där skäl för sådana föreligga. Jag anser, att det</w:t>
        <w:br/>
        <w:br/>
        <w:t>är den enda lagstiftning på denna punkt, som är rimlig och som höves den kulturutveckling vi hava nått. Jag anhåller därför, herr talman, att få yrka bifall till reservationen.</w:t>
      </w:r>
    </w:p>
    <w:p>
      <w:pPr>
        <w:pStyle w:val="Heading2"/>
      </w:pPr>
      <w:r>
        <w:t>11. unknown (–, –)</w:t>
      </w:r>
    </w:p>
    <w:p>
      <w:r>
        <w:rPr>
          <w:b w:val="0"/>
        </w:rPr>
        <w:t xml:space="preserve">Herr talman! Jag skall be att få yrka bifall till utskottets förslag. Jag skall villigt medgiva, att det ligger mycket i det som herr Hellberg säger, men man får besinna, att lagen är skriven för vad danskarna kalla »de jaevne Folk», för folk i allmänhet. Och bland dem är det nog en inrotad föreställning och gängse sed, att </w:t>
      </w:r>
      <w:r>
        <w:rPr>
          <w:b/>
        </w:rPr>
        <w:t>hustrun²</w:t>
      </w:r>
      <w:r>
        <w:rPr>
          <w:b w:val="0"/>
        </w:rPr>
        <w:t xml:space="preserve"> skall bära mannens namn. Visserligen var det kanske annorlunda, om man går långt tillbaka i tiden, så långt somv till Kristina Gyllenstierna. Nu vet man ju dock ej riktigt vad </w:t>
      </w:r>
      <w:r>
        <w:rPr>
          <w:b/>
        </w:rPr>
        <w:t>hon²</w:t>
      </w:r>
      <w:r>
        <w:rPr>
          <w:b w:val="0"/>
        </w:rPr>
        <w:t xml:space="preserve"> kallades i societeten på den tiden. Det är mycket möjligt, att man kallade </w:t>
      </w:r>
      <w:r>
        <w:rPr>
          <w:b/>
        </w:rPr>
        <w:t>henne²</w:t>
      </w:r>
      <w:r>
        <w:rPr>
          <w:b w:val="0"/>
        </w:rPr>
        <w:t xml:space="preserve"> </w:t>
      </w:r>
      <w:r>
        <w:rPr>
          <w:b/>
        </w:rPr>
        <w:t>fru²</w:t>
      </w:r>
      <w:r>
        <w:rPr>
          <w:b w:val="0"/>
        </w:rPr>
        <w:t xml:space="preserve"> Sture fastän vi tala om </w:t>
      </w:r>
      <w:r>
        <w:rPr>
          <w:b/>
        </w:rPr>
        <w:t>henne²</w:t>
      </w:r>
      <w:r>
        <w:rPr>
          <w:b w:val="0"/>
        </w:rPr>
        <w:t xml:space="preserve"> som Kristina Gyllenstierna. Det må dock hava varit hur som helst i gamla tider, det är likväl ett faktum, att i våra dagar och långt dessförinnan har det varit en given regel bland folk i allmänhet, att </w:t>
      </w:r>
      <w:r>
        <w:rPr>
          <w:b/>
        </w:rPr>
        <w:t>hustrun²</w:t>
      </w:r>
      <w:r>
        <w:rPr>
          <w:b w:val="0"/>
        </w:rPr>
        <w:t xml:space="preserve"> bär mannens namn. Därför har man i utskottet tyckt, att det icke skulle föecn så stor uppoffring för </w:t>
      </w:r>
      <w:r>
        <w:rPr>
          <w:b/>
        </w:rPr>
        <w:t>kvinnorna¹</w:t>
      </w:r>
      <w:r>
        <w:rPr>
          <w:b w:val="0"/>
        </w:rPr>
        <w:t xml:space="preserve"> att foga sig i dessa bestämmelser.</w:t>
        <w:br/>
        <w:br/>
        <w:t>Jag vill nämna, att de norska och danska lagförslagen ingenting innehålla i denna sak, men det beror på, att man där ämnar ordna denna fråga i en särskild lag. Jag kan verkligen ej förstå, att det skäl som av utskottet anförts om det statliga försäkringsväsendet skulle vara löjligt, ty när man vet, vilket förfärligt besvär det är, att vid tillämpningen av försäkringen finna människor och taga reda på deras namn, anser jag, att man icke med fog kan beteckna utskottets skäl härutinnan som löjligt. Jag skulle kunna säga mycket mer härom, men jag vill icke uppehålla tiden, utan yrkar bifall till utskottets förslag.</w:t>
      </w:r>
    </w:p>
    <w:p>
      <w:pPr>
        <w:pStyle w:val="Heading2"/>
      </w:pPr>
      <w:r>
        <w:t>12. Carl Axel Reuterskiöld (Utan partibeteckning, man)</w:t>
      </w:r>
    </w:p>
    <w:p>
      <w:r>
        <w:rPr>
          <w:b w:val="0"/>
        </w:rPr>
        <w:t xml:space="preserve">I den här föreliggande frågan måste jag, även om det kan förefalla underbart, instämma med motionären och reservanten. Då lagförslaget uppenbarligen bygger på, att </w:t>
      </w:r>
      <w:r>
        <w:rPr>
          <w:b/>
        </w:rPr>
        <w:t>hustrun²</w:t>
      </w:r>
      <w:r>
        <w:rPr>
          <w:b w:val="0"/>
        </w:rPr>
        <w:t xml:space="preserve"> skall kunna vara självförsörjande, och, efter vad det också har sagts, vill uppmmuntra härtill, så synes det mig, att i sådana fall, där </w:t>
      </w:r>
      <w:r>
        <w:rPr>
          <w:b/>
        </w:rPr>
        <w:t>hon²</w:t>
      </w:r>
      <w:r>
        <w:rPr>
          <w:b w:val="0"/>
        </w:rPr>
        <w:t xml:space="preserve"> före äktenskapet verkligen varit självförsörjande och under sitt dåvarande namn verkligen vunnit till exempel en klientel, där det är fråga därom, eller blivit på visst sätt känd, vare sio som stadsfullmäktig eller på annat sätt, så finnes det intet skäl, när </w:t>
      </w:r>
      <w:r>
        <w:rPr>
          <w:b/>
        </w:rPr>
        <w:t>hon²</w:t>
      </w:r>
      <w:r>
        <w:rPr>
          <w:b w:val="0"/>
        </w:rPr>
        <w:t xml:space="preserve"> sedan gifter sig, att </w:t>
      </w:r>
      <w:r>
        <w:rPr>
          <w:b/>
        </w:rPr>
        <w:t>hon²</w:t>
      </w:r>
      <w:r>
        <w:rPr>
          <w:b w:val="0"/>
        </w:rPr>
        <w:t xml:space="preserve"> skall bli obekant genom att taga sin kanske obekante mans namn. Det förefaller mig, att i de fall, då </w:t>
      </w:r>
      <w:r>
        <w:rPr>
          <w:b/>
        </w:rPr>
        <w:t>hon²</w:t>
      </w:r>
      <w:r>
        <w:rPr>
          <w:b w:val="0"/>
        </w:rPr>
        <w:t xml:space="preserve"> är självförsörjande, tala starka skäl för motionärernas mening. Jag skulle för min del helst se, att denna fråga före äktenskapets ingående ordnades mellan den blivande mannen och </w:t>
      </w:r>
      <w:r>
        <w:rPr>
          <w:b/>
        </w:rPr>
        <w:t>hustrun²</w:t>
      </w:r>
      <w:r>
        <w:rPr>
          <w:b w:val="0"/>
        </w:rPr>
        <w:t>. Då därom emellertid icke föreligger motion, har jag i samband med paragraf 11 detta kapitel givit uttryck för denna uppfattning som den riktigaste, men i valet mellan att bifalla Kungl. Maj:ts förslag och herr Hellbergs motion, sådan den är upptagen i herr Petterssons i Söder-</w:t>
        <w:br/>
        <w:br/>
        <w:t>tälje reservation, ber jag, herr greve och talman, få yrka bifall till Förslag till herr Petterssons i Södertälje reservation. rn</w:t>
      </w:r>
    </w:p>
    <w:p>
      <w:pPr>
        <w:pStyle w:val="Heading2"/>
      </w:pPr>
      <w:r>
        <w:t>13. Carl Lindhagen (–, man)</w:t>
      </w:r>
    </w:p>
    <w:p>
      <w:r>
        <w:rPr>
          <w:b w:val="0"/>
        </w:rPr>
        <w:t xml:space="preserve">Den sista voteringen här i kammaren och ännu mer voteringen i motsvarande fråga i andra kammaren visar ju, att här lever och frodas trots allt en ganska kraftig maskulin renässans. Man avskaffar målsmanskapet, men mannen, som har kassan, passar på att i realiteten på omvägar bakom </w:t>
      </w:r>
      <w:r>
        <w:rPr>
          <w:b/>
        </w:rPr>
        <w:t>kvinnornas¹</w:t>
      </w:r>
      <w:r>
        <w:rPr>
          <w:b w:val="0"/>
        </w:rPr>
        <w:t xml:space="preserve"> rygg tillförsäkra sig ett nytt faktiskt övervälde. Vidare står visserligen en vacker devis i förslaget om att </w:t>
      </w:r>
      <w:r>
        <w:rPr>
          <w:b/>
        </w:rPr>
        <w:t>hustruns²</w:t>
      </w:r>
      <w:r>
        <w:rPr>
          <w:b w:val="0"/>
        </w:rPr>
        <w:t xml:space="preserve"> arbete i hemmet skall betraktas som ett bidrag till hemmets underhåll, men när det nu kommer till stycket, blir detta tillgodohavande ej ens uppskattat till så mycket att </w:t>
      </w:r>
      <w:r>
        <w:rPr>
          <w:b/>
        </w:rPr>
        <w:t>hon²</w:t>
      </w:r>
      <w:r>
        <w:rPr>
          <w:b w:val="0"/>
        </w:rPr>
        <w:t xml:space="preserve"> därför kan köpa sig ett par kängor eller en kappa. Under sådana förhållanden, herr talman, lär det icke heller finnas stor utsikt till att kammaren skulle vilja gå ifrån Kungl. Maj:ts förslag i förevarande del.</w:t>
        <w:br/>
        <w:br/>
        <w:t xml:space="preserve">Emellertid komma de tankar, som ofullkomligt uttryckts i herr Petterssons i Södertälje reservation, enligt min övertygelse att en gång bliva de riktiga och även bliva efterföljda. Jag vet ej varför oift </w:t>
      </w:r>
      <w:r>
        <w:rPr>
          <w:b/>
        </w:rPr>
        <w:t>kvinna¹</w:t>
      </w:r>
      <w:r>
        <w:rPr>
          <w:b w:val="0"/>
        </w:rPr>
        <w:t xml:space="preserve"> icke skall få behålla sitt eget namn, om </w:t>
      </w:r>
      <w:r>
        <w:rPr>
          <w:b/>
        </w:rPr>
        <w:t>hon²</w:t>
      </w:r>
      <w:r>
        <w:rPr>
          <w:b w:val="0"/>
        </w:rPr>
        <w:t xml:space="preserve"> önskar det, isynnerhet om </w:t>
      </w:r>
      <w:r>
        <w:rPr>
          <w:b/>
        </w:rPr>
        <w:t>hon²</w:t>
      </w:r>
      <w:r>
        <w:rPr>
          <w:b w:val="0"/>
        </w:rPr>
        <w:t xml:space="preserve"> på samma vång är självförsörjande, som den siste talaren nämnde. Skall man till och med, ehuru </w:t>
      </w:r>
      <w:r>
        <w:rPr>
          <w:b/>
        </w:rPr>
        <w:t>hon²</w:t>
      </w:r>
      <w:r>
        <w:rPr>
          <w:b w:val="0"/>
        </w:rPr>
        <w:t xml:space="preserve"> nu har denna rättighet stifta en lag, varigenom man tager ifrån </w:t>
      </w:r>
      <w:r>
        <w:rPr>
          <w:b/>
        </w:rPr>
        <w:t>henne²</w:t>
      </w:r>
      <w:r>
        <w:rPr>
          <w:b w:val="0"/>
        </w:rPr>
        <w:t xml:space="preserve"> densamma? Det är för resten gammal tradition. Man behöver icke gå till Kristina Gyllenstierna och dessa gestalter i historien, som icke kände några andra namm, fast de blevo gifta, än sitt fadersnamn. Hela den svenska bondeklassens </w:t>
      </w:r>
      <w:r>
        <w:rPr>
          <w:b/>
        </w:rPr>
        <w:t>kvinnor¹</w:t>
      </w:r>
      <w:r>
        <w:rPr>
          <w:b w:val="0"/>
        </w:rPr>
        <w:t xml:space="preserve"> ha intill helt nyligen även som oifta begagnat sitt fadersnamn. Först på sista tiden hava de lagt sig till med stadsfasoner, som de tro vara gentila. Men det kommer nog en tid, då man skall återvända till ett sunt likställighetsförhållande även i denna punkt. Emellertid är också herr Petterssons i Södertälje reservation en tillbakagång från det nuvarande tillståndet, ty nu har man i alla händelser rätt att hava sitt eget namn, utan att göra anmälan hos någon. Det är något nytt, som skall införas. Men det är icke värt att ytterligare förbrylla omröstningspropositionerna senom att göra ett särskilt yrkande i detta avseende. Därför finner jag mig, herr talman, av opportunitetsskäl nödsakad att inskränka mig till att yrka bifall till herr Petterssons i Södertälje reservation.</w:t>
      </w:r>
    </w:p>
    <w:p>
      <w:pPr>
        <w:pStyle w:val="Heading2"/>
      </w:pPr>
      <w:r>
        <w:t>14. Edward Larson (–, man)</w:t>
      </w:r>
    </w:p>
    <w:p>
      <w:r>
        <w:rPr>
          <w:b w:val="0"/>
        </w:rPr>
        <w:t xml:space="preserve">Den ärade motionären anför, att den rätt som nu finnes för </w:t>
      </w:r>
      <w:r>
        <w:rPr>
          <w:b/>
        </w:rPr>
        <w:t>kvinnor¹</w:t>
      </w:r>
      <w:r>
        <w:rPr>
          <w:b w:val="0"/>
        </w:rPr>
        <w:t xml:space="preserve"> att bära ett eget namn skulle fråntagas dem, men redan nu måste </w:t>
      </w:r>
      <w:r>
        <w:rPr>
          <w:b/>
        </w:rPr>
        <w:t>hustrun²</w:t>
      </w:r>
      <w:r>
        <w:rPr>
          <w:b w:val="0"/>
        </w:rPr>
        <w:t xml:space="preserve"> införas under mannens namn i de officiella böckerna. Motionärens förslag är och skulle bliva en så kallad undantagslagstiftning, ty det skulle endast bliva ett fåtal fall, där man skmulle begagna sig härav. Det skulle vara cirkusmänniskor, teaterfolk, vissa läkare och advokter. Det har sagts att föreliggande lagförslag i denna punkt skulle kunna åstadkomma oreda och trassel. Någon förväxling torde emellertid icke behöva ifrågakomma även om makarna ha samma yrke då </w:t>
      </w:r>
      <w:r>
        <w:rPr>
          <w:b/>
        </w:rPr>
        <w:t>kvinnans¹</w:t>
      </w:r>
      <w:r>
        <w:rPr>
          <w:b w:val="0"/>
        </w:rPr>
        <w:t xml:space="preserve"> och</w:t>
        <w:br/>
        <w:br/>
        <w:t>mannens förnamn alltid måste bliva olika. Jag måste säga, att någon förbindelselänk i äktenskapet bör det väl ändå vara, och därför ber jag få yrka bifall till utskottets förslag.</w:t>
        <w:br/>
        <w:br/>
        <w:t>Make må ej avhända sig eller med inteckning för gäld belasta fast egendom, vari andra maken har giftorätt, utan att denne skriftligen med två vittnen samtycker därtill. Är andre maken omyndig eller bortovarande, ankomme på förmyndare eller god man att giva samtyc-</w:t>
        <w:br/>
        <w:br/>
        <w:t>ke, varom nyss är sagt. Särskilt samtycke vare cj erforderligt, om den make, som vill företaga åtgärden, är förmyndare eller god man för andra maken.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