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369</w:t>
      </w:r>
    </w:p>
    <w:p>
      <w:r>
        <w:rPr>
          <w:b/>
        </w:rPr>
        <w:t xml:space="preserve">Datum: </w:t>
      </w:r>
      <w:r>
        <w:t>1920-04-17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Allan Westman (–, man)</w:t>
      </w:r>
    </w:p>
    <w:p>
      <w:r>
        <w:rPr>
          <w:b w:val="0"/>
        </w:rPr>
        <w:t xml:space="preserve">Herr Alexanderson kan under inga omständigheter bestrida, att den föreslagna bestämmelsen rörande giftorättens omfattning kommer att verka i den riktningen, att en jordägare icke kan veta, om han, då han strävar för att förbättra sin ägande fastighet, arbetar icke bara för sig själv, utan även för sina ättlingar, och att detta kommer att medföra, att hans lust att nedlägga arbete och besparingar på fastighetens förbättrande i många fall kan komma att minskas. Ty det är dock i alla fall så, att en människa arbetar hellre för sina anhöriga än för vilt främmande människor, som kunna komma att bliva </w:t>
      </w:r>
      <w:r>
        <w:rPr>
          <w:b/>
        </w:rPr>
        <w:t>hennes²</w:t>
      </w:r>
      <w:r>
        <w:rPr>
          <w:b w:val="0"/>
        </w:rPr>
        <w:t xml:space="preserve"> rättsefterträdare.</w:t>
        <w:br/>
        <w:br/>
        <w:t>Jag vill framhålla, att herr Alexanderson formulerade sin upplysning om det meddelande, som lämnats i utskottet, så, att man därav fick det intrycket, att i utskottet uppgivits, att ett allmänt missnöje vore rådande i landet med nu gällande bestämmelser om giftorättens omfattning. Emellertid säger utskottet rörande denna sak följande: »Såvitt utskottet kunnat utröna äro meningarna rörande den gällande regeln om ärvd eller före äktenskapet förvärvad fastighets enskilda natur synnerligen delade.</w:t>
        <w:br/>
        <w:br/>
        <w:t>Det kan ju hända, att den uppfattning, som är den gamla, nämligen att den fasta egendomen är något alldeles för sig, som icke bör jämställas med lös egendom, i viss mån undergrävts genom senare tiders individualistiska åskådning, som trängt in även på detta område. Men det lider inte det minsta tvivel, att med de nya riktningar, som framträda inom vår jordpolitik, kommer denna gamla uppfattning en gång ånyo till heders. Det förefaller mig därför synnerligen betänkligt, om man skulle, därför att vi nu tillfälligtvis befinna oss i en vågdal, fatta ett beslut under intryck av den nuvarande mera lösa uppfattningen i detta avseende, som enligt min bestämda övertygelse icke har framtiden för sig.</w:t>
        <w:br/>
        <w:br/>
        <w:t xml:space="preserve">Jag vill slutligen säga, att jag ger herr Alexanderson rätt att den föreslagna lagen om makes arvsrätt kan komma att medföra, att fastigheter sammanföras på en hand, ty det är givet, att om </w:t>
      </w:r>
      <w:r>
        <w:rPr>
          <w:b/>
        </w:rPr>
        <w:t>hustrun²</w:t>
      </w:r>
      <w:r>
        <w:rPr>
          <w:b w:val="0"/>
        </w:rPr>
        <w:t xml:space="preserve"> på grund av giftorätt och arvsrätt får ?/, eller hela förmögenheten med undanskjutande av andra, kan detta komma att medföra konsolidering av förmögenheten och också av den fasta egendomen. Men min invändning mot denna lag om makes arvsrätt går ut därpå, att denna lag kommer att hava till följd, att egendom, utan någon som helst grundad anledning kan uppvisas, kommer att överföras från en släkt till en annan. Jag ber att få vidhålla mitt yrkande.</w:t>
      </w:r>
    </w:p>
    <w:p>
      <w:pPr>
        <w:pStyle w:val="Heading2"/>
      </w:pPr>
      <w:r>
        <w:t>2. Ernst Klefbeck (Socialdemokraterna, man)</w:t>
      </w:r>
    </w:p>
    <w:p>
      <w:r>
        <w:rPr>
          <w:b w:val="0"/>
        </w:rPr>
        <w:t xml:space="preserve">Herr talman! Jag vill be att få anföra ett exempel, som visar, varthän, så vitt jag begriper, reservationen kan leda. Jag tänker mig t. ex. en man, som i det gemensamma boet inför en gård, som är värd 10,009 kronor. </w:t>
      </w:r>
      <w:r>
        <w:rPr>
          <w:b/>
        </w:rPr>
        <w:t>Hustrun²</w:t>
      </w:r>
      <w:r>
        <w:rPr>
          <w:b w:val="0"/>
        </w:rPr>
        <w:t xml:space="preserve"> för in 1 samma bo lösören och penningar till ett värde av 10,000 kronor. De få inga barn, men de arbeta träget och troget för att vidmakthålla sin egendom, så att den bevaras, till dess genom mannens död hemmet upplöses. Vad skulle nu enligt reservationen inträffa i ett sådant fall? Jo, så vitt jag förstår, skulle t. ex. mannens brorson få först och främst hela gården, som skulle bevaras inom mannens släkt, och vidare hälften av giftorättsgodset för övrigt, d. v. s. av </w:t>
      </w:r>
      <w:r>
        <w:rPr>
          <w:b/>
        </w:rPr>
        <w:t>hustruns²</w:t>
      </w:r>
      <w:r>
        <w:rPr>
          <w:b w:val="0"/>
        </w:rPr>
        <w:t xml:space="preserve"> del 5,000 kronor och sålunda skulle </w:t>
      </w:r>
      <w:r>
        <w:rPr>
          <w:b/>
        </w:rPr>
        <w:t>hustrun²</w:t>
      </w:r>
      <w:r>
        <w:rPr>
          <w:b w:val="0"/>
        </w:rPr>
        <w:t xml:space="preserve"> efter livsngt arbete och möda få gå från gården och hemmet med 5,000</w:t>
      </w:r>
    </w:p>
    <w:p>
      <w:pPr>
        <w:pStyle w:val="Heading2"/>
      </w:pPr>
      <w:r>
        <w:t>3. Nils Alexanderson (Liberala samlingspartiet, man)</w:t>
      </w:r>
    </w:p>
    <w:p>
      <w:r>
        <w:rPr>
          <w:b w:val="0"/>
        </w:rPr>
        <w:t>Herr talman! Jag skall icke förlänga debatten, men jag vill fråga om herrarna tro, att andra kammaren med dess över etthundra lantbrukare skulle hava tagit proposition i denna punkt mot den reservation, som herr Pettersson i Bjälbo m. fl. avgivit, utan votering, därest det icke har något skäl för sig vad här sagts, att den allmänna meningen även bland lantbefolkningen och dess upplysta representanter, dess med boskiften väl förtrogna representanter, verkligen stadgat sig i den riktning att det är på tiden, att den gamla ordningen ändras.</w:t>
      </w:r>
    </w:p>
    <w:p>
      <w:pPr>
        <w:pStyle w:val="Heading2"/>
      </w:pPr>
      <w:r>
        <w:t>4. Jöns Pålsson (Folkpartiet, man)</w:t>
      </w:r>
    </w:p>
    <w:p>
      <w:r>
        <w:rPr>
          <w:b w:val="0"/>
        </w:rPr>
        <w:t>Jag är övertygad om, att den mening, som herr Alexanderson uttalade om giftorättsparagrafens omformulerande är fullkomligt riktig. Åtminstone i den landsdel, som jag känner till, är man visst icke belåten med paragrafen sådan den varit formulerad. Det mest pinsamma, som kan inträffa är då vid ett arvskifte upptäckes, att den kvarlevande maken icke har giftorätt i den fasta egendomen, utan denna går, om bhröstarvingar icke finnas, till en eller flera för denne likgiltiga släktingar till den avlidne maken. Den kvarlevande får på grund av nutida bestämmelse gå ifrån det hela änskönt densamma ju kan hava tillbragt största delen av sitt liv på denna fastighet och på densamma nedlagt ett intresserat arbete.</w:t>
        <w:br/>
        <w:br/>
        <w:t>Det måste anses vara en mycket stor orättvisa, om denna be- Förslag till stämmelse fortfarande får kvarstå orubbad. giftermålsbalk. Där man i tid observerat endera makens rättslöshet genom den- = (Forts) na paragraf har man försökt ordna frågan genom testamente eller genom skenoch återköp bringa rättvisa makarna emellan. Vad den del av skånska landsbygden beträffar, som jag repre: senterar, tror jag alltså, att man där är mogen att taga det förslag, som här föreligger, vartill jag, herr greve och talman, ber att få yrka bifall.</w:t>
        <w:br/>
        <w:br/>
        <w:t>Sedan överläggningen ansetts härmed slutad, gjorde herr talmannen enligt de beträffande nu föredragna paragraf framkomna yrkandena propositioner, först på paragrafens godkännande samt vidare på antagande av det förslag, som innefattades i den av herr Pettersson i Bjälbo och herr Rogberg vid lagrummet anförda reservation med rättande av det av herr Roghberg omnämnda tryckfel, så att i 2 mom. ordet »make» utbyttes mot »genom»; och förklarade herr talmannen, efter att hava upprepat propositionen på paragrafens godkännande, sig finna denna proposition vara med övervägande ja besvarad.</w:t>
        <w:br/>
        <w:br/>
        <w:t xml:space="preserve">Häftar </w:t>
      </w:r>
      <w:r>
        <w:rPr>
          <w:b/>
        </w:rPr>
        <w:t>hustrun²</w:t>
      </w:r>
      <w:r>
        <w:rPr>
          <w:b w:val="0"/>
        </w:rPr>
        <w:t xml:space="preserve"> jämte mannen för gäld, som båda makarna eller endera gjort genom rättshandling av den i 5 kap. 12 $ avsedda beskaffenhet. och vill borgenär söka </w:t>
      </w:r>
      <w:r>
        <w:rPr>
          <w:b/>
        </w:rPr>
        <w:t>hustrun²</w:t>
      </w:r>
      <w:r>
        <w:rPr>
          <w:b w:val="0"/>
        </w:rPr>
        <w:t xml:space="preserve"> för gälden, skall han anhängiggöra sin talan inom ett år från förfallodagen eller, om gälden skall betalas vid anfordran, från dess uppkomst; försittes denna tid, vare rätt till talan mot </w:t>
      </w:r>
      <w:r>
        <w:rPr>
          <w:b/>
        </w:rPr>
        <w:t>henne²</w:t>
      </w:r>
      <w:r>
        <w:rPr>
          <w:b w:val="0"/>
        </w:rPr>
        <w:t xml:space="preserve"> förlorad.</w:t>
        <w:br/>
        <w:br/>
        <w:t xml:space="preserve">Häftar </w:t>
      </w:r>
      <w:r>
        <w:rPr>
          <w:b/>
        </w:rPr>
        <w:t>hustrun²</w:t>
      </w:r>
      <w:r>
        <w:rPr>
          <w:b w:val="0"/>
        </w:rPr>
        <w:t xml:space="preserve"> jämte mannen för gäld, som båda makarna eller endera gjort genom rättshandling av den i 5 kap. 12 $ avsedda beskaffenhet, och vill borgenären söka </w:t>
      </w:r>
      <w:r>
        <w:rPr>
          <w:b/>
        </w:rPr>
        <w:t>hustrun²</w:t>
      </w:r>
      <w:r>
        <w:rPr>
          <w:b w:val="0"/>
        </w:rPr>
        <w:t xml:space="preserve"> för gälden, skall han anhängiggöra sin talan inom två år från förfallodagen eller, om gälden skall betalas vid anfordran, från dess uppkomst; försittes denna tid, vare rätt till talan mot </w:t>
      </w:r>
      <w:r>
        <w:rPr>
          <w:b/>
        </w:rPr>
        <w:t>henne²</w:t>
      </w:r>
      <w:r>
        <w:rPr>
          <w:b w:val="0"/>
        </w:rPr>
        <w:t xml:space="preserve"> förlorad.</w:t>
        <w:br/>
        <w:br/>
        <w:t xml:space="preserve">Häftar </w:t>
      </w:r>
      <w:r>
        <w:rPr>
          <w:b/>
        </w:rPr>
        <w:t>hustrun²</w:t>
      </w:r>
      <w:r>
        <w:rPr>
          <w:b w:val="0"/>
        </w:rPr>
        <w:t xml:space="preserve"> jämte mannen för gäld, som båda makarna eller endera för den dagliga hushållningen eller barnens uppfostran gjort genom rättshandling av den i 5 kap. 12 $ avsedda beskaffenhet, och vill borgenären söka </w:t>
      </w:r>
      <w:r>
        <w:rPr>
          <w:b/>
        </w:rPr>
        <w:t>hustrun²</w:t>
      </w:r>
      <w:r>
        <w:rPr>
          <w:b w:val="0"/>
        </w:rPr>
        <w:t xml:space="preserve"> för gälden, skall han anhängiggöra sin talan inom två år från förfallodagen eller, om gälden skall betalas vid anfordran, från dess uppkomst; försittes denna tid, vare rätt till talan mot </w:t>
      </w:r>
      <w:r>
        <w:rPr>
          <w:b/>
        </w:rPr>
        <w:t>henne²</w:t>
      </w:r>
      <w:r>
        <w:rPr>
          <w:b w:val="0"/>
        </w:rPr>
        <w:t xml:space="preserve"> förlorad.</w:t>
      </w:r>
    </w:p>
    <w:p>
      <w:pPr>
        <w:pStyle w:val="Heading2"/>
      </w:pPr>
      <w:r>
        <w:t>5. Jacob Spens (Första kammarens nationella parti, man)</w:t>
      </w:r>
    </w:p>
    <w:p>
      <w:r>
        <w:rPr>
          <w:b w:val="0"/>
        </w:rPr>
        <w:t xml:space="preserve">Herr talman, mina herrar! Av det beslut, som båda kamrarna för en stund sedan sammanstämmande fattat cm lydelsen av 5 kap. 12 $, då kamrarna antogo herr Petterssons i Bjälbo reservation, blir en given följd, att kammaren nu bör godkänna det syfte, som innefattas i den vid nu förevarande paragraf av herrar Pettersson i Södertälje, Rogberg, Pettersson i Bjälbo och mig avgivna reservationen, som går ut på att paragrafen ej skulle avse kredit för </w:t>
      </w:r>
      <w:r>
        <w:rPr>
          <w:b/>
        </w:rPr>
        <w:t>hustruns²</w:t>
      </w:r>
      <w:r>
        <w:rPr>
          <w:b w:val="0"/>
        </w:rPr>
        <w:t xml:space="preserve"> särskilda behov. Detta syfte med reserva-</w:t>
        <w:br/>
        <w:br/>
        <w:t>tionen vinnes emellertid nu fullkomligt med den lydelse, som före- Förslag till varande paragraf har i utskottets förslag, ty denna paragraf, sådan giftermålsbalk, den lyder i utskottets förslag, hänvisar till 5 kap. 12 $, som kam- (Forts.) rarna beslutit giva förändrad lydelse. Jag hemställer därför nu om</w:t>
        <w:br/>
        <w:br/>
        <w:t>bifall till utskottets förslag oförändrat i denna paragraf.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