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1479</w:t>
      </w:r>
    </w:p>
    <w:p>
      <w:r>
        <w:rPr>
          <w:b/>
        </w:rPr>
        <w:t xml:space="preserve">Datum: </w:t>
      </w:r>
      <w:r>
        <w:t>1920-06-02</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Ulrik Leander (Frisinnade folkpartiet, man)</w:t>
      </w:r>
    </w:p>
    <w:p>
      <w:r>
        <w:rPr>
          <w:b w:val="0"/>
        </w:rPr>
        <w:t>Herr talman, mina herrar! Då min vän herr Persson i Fritorp uttalat sin förvåning över, att lagförslag framkomma den ena gången efter den andra, eller att, såsom han uttryckte det, man lappar på kommunallagarna gång efter annan, ber jag att få erinra om, att det just är riksdagen själv, som har begärt det förslag, som nu föreligger rörande dessa frågor.</w:t>
        <w:br/>
        <w:br/>
        <w:t>Vad fullmaktsröstningen vid kommunala representantval beträffar, har ju denna, såsom utskottet påpekar, och som mycket ofta förut påpekats, lett till svåra missbruk, vilka i hög grad äro ägnade att neddraga valförrättningens karaktär och förvanska det uttryck för valmanskårens verkliga uppfattning, som valet bör utgöra. Huvudsaken är ju också, att denna fullmaktsröstning i den form och utsträckning, vari den hittills bedrivits, måtte upphöra, och</w:t>
        <w:br/>
        <w:br/>
        <w:t>Nu har herr Olsson i Kullenbergstorp beklagat sig över att icke sjuka människor och sådana, som äro behäftade med något lyte, kunna få deltaga i de kommunala valen. Herrar Classon och K. J. Ekman ha ju också i sin reservation uttryckt detta beklagande och ha framhållit, att tillfälle borde beredas även sådana personer att deltaga i dessa val. Hade dessa båda reservanter på ett tidigare stadium i utskottet framkommit med detta sitt yrkande, tänker jag mig, att ingen i utskottet skulle ha motsatt sig detta, utan det hade säkerligen blivit majoritetens mening. Såvitt jag nu kan erinra mig, framkom emellertid icke detta yrkande, förrän utlåtandet skulle justeras och det endast var tillfälle för utskottets medlemmar att anmäla sin reservation. Vill nu herr Olsson i Kullenbergstorp frambära en motion om att att även sådana personer skola få deltaga i de kommunala valen, skall jag för min del understödja detta, förutsatt nämligen att herr Olsson i Kullenbergstorp och jag komma tillbaka isen till riksdagen, som ju kan vara litet ovisst, åtminstone vad mig beträffar.</w:t>
        <w:br/>
        <w:br/>
        <w:t>Av rent praktiska skäl har man ju också velat bereda äkta makar tillfälle att rösta för varandra. Därom råder full enighet, och det är blott om metoden, som det råder meningsskiljaktighet. Herr Persson i Tofta och hans medreservanter vilja ju, att fullmaktsröstning även i fortsättningen skall användas vid representantvalen. Utskottsmajoriteten däremot har i överensstämmelse med Kungl. Maj:ts förslag ansett sig böra förorda metoden med valsedelns insändande. Därigenom kommer det att råda likformighet i fråga om både de politiska och de kommunala valen. Riksdagen har ju redan i fråga om valen till andra kammaren bestämt sig för metoden att i vissa fall: medge insändande av valsedeln. Detta är det förnämsta skälet, varför utskottet förordat denna metod, ty det skulle väl ändå vara ganska oegentligt och underligt att vid val, som äro bestämmande för första kammarens sammansättning, en röstningsmetod skulle gilla, som underkännes i fråga om val till andra kammaren. Detta skulle dock bliva fallet, om reservanternas mening skulle vinna riksdagens bifall. Det bör alltså därför vara ganska klart. att samma metod bör användas vid båda dessa val.</w:t>
        <w:br/>
        <w:br/>
        <w:t>Herr Persson i Fritorp har sagt, att det skulle väcka förvåning bland valförrättarna och även bland de röstberättigade, om man skulle gå till väga på det sätt, som utskottet föreslagit, ty det där hemlighetsmakeriet makarna emellan 0. s. v. skulle de bara komma att skratta åt. Ja, men samma förvåning måste de väl erfara, då de skola förrätta de politiska valen, i fråga om vilka riksdagen redan har uttalat sig för detta förfaringssätt. Det är väl icke annorlunda vid de kommunala valen, så att de behöva väl icke skratta mera då än vid de politiska. Det tror jag för övrigt icke att de komma att göra.</w:t>
        <w:br/>
        <w:br/>
        <w:t>Man har velat bevara valhemligheten så gott, man kan, och är det så, att de båda makarna hiärutinnan icke vilja dölja något för</w:t>
        <w:br/>
        <w:br/>
        <w:t xml:space="preserve">varandra, behöva de det för all del icke, men man kan ju tänka sig. att icke alla äkta makar ha samma politiska uppfattning, utan den ena, kanske </w:t>
      </w:r>
      <w:r>
        <w:rPr>
          <w:b/>
        </w:rPr>
        <w:t>kvinnan¹</w:t>
      </w:r>
      <w:r>
        <w:rPr>
          <w:b w:val="0"/>
        </w:rPr>
        <w:t xml:space="preserve">, röstar med högern, medan mannen röstar met något av vänsterpartierna. Om det då blir mannen, som skall tags med sig </w:t>
      </w:r>
      <w:r>
        <w:rPr>
          <w:b/>
        </w:rPr>
        <w:t>kvinnans¹</w:t>
      </w:r>
      <w:r>
        <w:rPr>
          <w:b w:val="0"/>
        </w:rPr>
        <w:t xml:space="preserve"> valsedel, kan </w:t>
      </w:r>
      <w:r>
        <w:rPr>
          <w:b/>
        </w:rPr>
        <w:t>hon²</w:t>
      </w:r>
      <w:r>
        <w:rPr>
          <w:b w:val="0"/>
        </w:rPr>
        <w:t xml:space="preserve"> finna det lämpligt och fördelaktigt att få inlägga den utan att mannen vet, hur </w:t>
      </w:r>
      <w:r>
        <w:rPr>
          <w:b/>
        </w:rPr>
        <w:t>hon²</w:t>
      </w:r>
      <w:r>
        <w:rPr>
          <w:b w:val="0"/>
        </w:rPr>
        <w:t xml:space="preserve"> kommer att rösta. Det är i alla fall ingen skada skedd med det förfaringssätt, som utskottet föreslagit, utan tvärtom. Den personliga viljeakt, som ju bör komma till uttryck vid ett val, vinner sitt berättigande på ett bättre sätt genom vad Kungl. Maj:t och utskottet ha föreslagit än genom reservanternas förslag.</w:t>
        <w:br/>
        <w:br/>
        <w:t>Nu är det visserligen sant, aut vid andra kommunala avgöranden fullmakt i fortsättningen får användas, men det finns dock en väsentlig skillnad mellan dessa avgöranden och representantval. Då det icke är fråga om några val, brukar väl i allmänhet röstningen ske öppet på kommunalstämmorna, och på grund därav behöver det ju icke döljas, hur den röstar, som innehar fullmakten, utan det är uppenbart för alla.</w:t>
        <w:br/>
        <w:br/>
        <w:t>Allt nog, på det att det nu måtte bliva likställighet i fråga om val till första och andra kammaren, och på det att riksdagens en gång uttalade åsikt rörande äkta makars röstning för varandra nu måtte få äga bestånd, skall jag, herr talman, be att få yrka bifall till utskottets förslag.</w:t>
      </w:r>
    </w:p>
    <w:p>
      <w:pPr>
        <w:pStyle w:val="Heading2"/>
      </w:pPr>
      <w:r>
        <w:t>2. Arthur Engberg (Socialdemokraterna, man)</w:t>
      </w:r>
    </w:p>
    <w:p>
      <w:r>
        <w:rPr>
          <w:b w:val="0"/>
        </w:rPr>
        <w:t>Herr talman, endast ett par ord! Jag vill också i likhet med den föregående ärade talaren rikta mig mot den argumentering, som framfördes av herr Persson i Tofta. Det är ju alldeles klart, att de allra starkaste skäl måste sökas däruti, att vi få denna samstämmighet mellan de politiska och de kommunala valen, så att man icke i det ena fallet skall tillämpa en annan metod än i det andra.</w:t>
        <w:br/>
        <w:br/>
        <w:t xml:space="preserve">Jag är för det första alldeles övertygad om att den fördel, som kan vinnas genom att i båda fallen följa samma förfaringssätt, är så pass stor, att redan däruti ligger ett starkt skäl för utskottets linje. För det andra är jag icke i likhet med de ärade reservanterna övertygad därom, att då det exempelvis gäller äkta makar, man utan vidare får gå ut ifrån, att det ställer sig lika förtroendefullt och klart, om man har systemet med valsedelns försändande, eller om man har fullmaktssystemet. Jag tror alldeles bestämt, ait det är mycket nyttigt och mycket hälsosamt och mycket uppfostrande, speciellt för den </w:t>
      </w:r>
      <w:r>
        <w:rPr>
          <w:b/>
        </w:rPr>
        <w:t>kvinnliga¹</w:t>
      </w:r>
      <w:r>
        <w:rPr>
          <w:b w:val="0"/>
        </w:rPr>
        <w:t xml:space="preserve"> parten, som sannolikt blir den, som anränder den andre som frambärare av valsedeln, att helt självständigt och utan någon som helst påtryckning från den andra partens sida kunna lägga in sin valsedel och på det sättet i själva hemmet förrätta valet alldeles på samma sätt, som om det skedde i valförrättningslokalen. Den invändning, som reses i reservationen, att detta dock skulle innebära den skillnaden, att man icke går in i enrum o. s. v., förfaller mig ändå vara något långsökt, ty i praktiken kommer det dock att ställa sig på alldeles samma sätt.</w:t>
        <w:br/>
        <w:br/>
        <w:t>Jag tror därför, herr talman, att man gör klokast i att hålla fast vid utskottets linje, ty den bringar klarhet, reda och samstämmighet i vad det gäller förfaringssättet mellan de politiska och de kommunala valen, och den skapar möjlighet att utan personlig för lelse likvisst ändå kunna rösta, som om man befunne sig i valokalen</w:t>
        <w:br/>
        <w:br/>
        <w:t>Jag ber därför, herr talman, att i den förevarande punkten få yrka bifall till konstitutionsutskottets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1479</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