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1493</w:t>
      </w:r>
    </w:p>
    <w:p>
      <w:r>
        <w:rPr>
          <w:b/>
        </w:rPr>
        <w:t xml:space="preserve">Datum: </w:t>
      </w:r>
      <w:r>
        <w:t>1921-02-23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Elof Lindström (Lantmanna- och borgarepartiet inom andrakammaren, man)</w:t>
      </w:r>
    </w:p>
    <w:p>
      <w:r>
        <w:rPr>
          <w:b w:val="0"/>
        </w:rPr>
        <w:t>Jag har reserverat mig mot utskottets föreliggande hemställan och yrkat bifall till motionen och skall nu be att i korthet få ge skäl för min särskilda mening.</w:t>
        <w:br/>
        <w:br/>
        <w:t>Den i motionen omnämnde Enoch Thulin, vars efterlevande anhöriga motionärerna vilja bereda understöd av statsmedel, promoverades 1912 till filosofie doktor vid Lunds universitet och tjänstgjorde först som ordinarie lärare vid allmänt läroverk, men det dröjde icke länge, förrän han slog in på en annan bana och övergick till aviatiken. För det ändamålet gjorde han åtskilliga resor till främmande länder, och hemkommen företog han en del mycket uppmärksammade flygningar och utbildade sig därunder till Sveriges på sin tid främste flygare. Men icke blott i den egenskapen har han ägnat sig åt det svenska flygväsendet, utan han har också varit undervisare i flygkonsten. Han har grundat en flygskola vid Ljungbyhed, där omkring ett hundratal flygare utbildats, varibland en stor del militärflygare. Sin förnämsta insats för flygväsendets utveckling torde han ha gjort genom sin verksamhet som konstruktör av flygmotorer. Det var en tid under världskriget, då man icke hade någon möjlighet att köpa maskiner från utlandet, och ingen svensk fabrik ville taga på sig risken att tillverka motorer. Då trädde</w:t>
        <w:br/>
        <w:br/>
        <w:t>Thulin upp och anlade en fabrik, varmed han tillgodosåg den svenska statens behov av flygmaskiner. Om icke han trätt emellan, hade staten nödgats sätta upp en fabrik och nedlägga betydande kostnader på inredning och experiment. Härtill kommer, att Thulin levererade sina maskiner till staten för mycket facila priser. Det är allmänt bekant inom flygväsendet, att staten på dessa leveranser inbesparat betydande summor. Jag har intyg på fickan, som belysa detta.</w:t>
        <w:br/>
        <w:br/>
        <w:t xml:space="preserve">Den 14 maj 1919 förolyckades Thulin vid en flygfärd, efterlämnande </w:t>
      </w:r>
      <w:r>
        <w:rPr>
          <w:b/>
        </w:rPr>
        <w:t>änka²</w:t>
      </w:r>
      <w:r>
        <w:rPr>
          <w:b w:val="0"/>
        </w:rPr>
        <w:t xml:space="preserve"> och barn. Boet visade betydande brist, </w:t>
      </w:r>
      <w:r>
        <w:rPr>
          <w:b/>
        </w:rPr>
        <w:t>änkan²</w:t>
      </w:r>
      <w:r>
        <w:rPr>
          <w:b w:val="0"/>
        </w:rPr>
        <w:t xml:space="preserve"> och get äro fullständigt medellösa och ha inga anhöriga att lita sig till.</w:t>
        <w:br/>
        <w:br/>
        <w:t xml:space="preserve">Motionärerna vilja nu bereda </w:t>
      </w:r>
      <w:r>
        <w:rPr>
          <w:b/>
        </w:rPr>
        <w:t>änkan²</w:t>
      </w:r>
      <w:r>
        <w:rPr>
          <w:b w:val="0"/>
        </w:rPr>
        <w:t xml:space="preserve"> ett understöd av 1,000 kr. om året. Utskottet har av principiella skäl avstyrkt förslaget, och Jag har velat tillstyrka det. Jag behöver icke för denna kammare framhålla vikten av, att Sverige på flygväsendets område håller sig 1 nivå med utvecklingen i andra länder. Att Sverige på detta område kunnat verksamt deltaga i den mellanfolkliga konkurrensen, därför ha vi icke i första hand svenska staten att tacka, utan därför ha vi att tacka de hängivna uppoffringarna av enskilda svenska män, och en av de främsta i detta avseende är Enoch Thulin.</w:t>
        <w:br/>
        <w:br/>
        <w:t>Jag skall med hänsyn till den korta tiden icke uppehålla mig vid detta kapitel längre utan ber blott få nämna följande. Vid förlidet års riksdag förelåg en motion om understöd åt de efterlevande anhöriga till baron Cederström. Även han var en framstående flygare, som också förolyckades under en flygfärd. Utskottet avstyrkte även då av principiella skäl, andra kammaren avslog, men första kammaren biföll motionen. Vid gemensam votering bifölls motionen. Jag har så gott det varit mig möjligt sökt sätta mig in i dessa båda fall och kommit till den övertygelsen, att, med den ståndpunkt riksdagen förra året intog, torde det vara så gott som nödvändigt, att riksdagen bifaller nu förevarande motion. Ett annat handlingssätt skulle vara litet oförklarligt. Det skulle vara ett underkännande av Thulins stora insats i det svenska flygväsendets utveckling och fosterländska gärning, och det skulle vara hårt mot hans medellösa efterlevande.</w:t>
        <w:br/>
        <w:br/>
        <w:t>Jag ber därför, herr talman, att få yrka avslag på utskottets förslag och bifall till motionen.</w:t>
      </w:r>
    </w:p>
    <w:p>
      <w:pPr>
        <w:pStyle w:val="Heading2"/>
      </w:pPr>
      <w:r>
        <w:t>2. Emil Kristensson (Socialdemokraterna, man)</w:t>
      </w:r>
    </w:p>
    <w:p>
      <w:r>
        <w:rPr>
          <w:b w:val="0"/>
        </w:rPr>
        <w:t xml:space="preserve">Herr talman! Jag skall icke mycket förlänga debatten, men det torde för var och en, som tänker sig in i saken, vara klart, att utskottet icke rätt gärna kunnat ställa sig på annan ståndpunkt, än det gjort. I fjol, då det var fråga om pension åt </w:t>
      </w:r>
      <w:r>
        <w:rPr>
          <w:b/>
        </w:rPr>
        <w:t>änkan²</w:t>
      </w:r>
      <w:r>
        <w:rPr>
          <w:b w:val="0"/>
        </w:rPr>
        <w:t xml:space="preserve"> efter friherre Cederström, avstyrkte utskottet, därför att det icke förelåg någon laglig rätt till pension och man icke ville principiellt från utskottets sida erkänna, att de civila flygarna hade direkt anspråk på vare sig egen pension eller familjepension. Då yttrades i debatten, att om riksdagen beviljade pension åt </w:t>
      </w:r>
      <w:r>
        <w:rPr>
          <w:b/>
        </w:rPr>
        <w:t>änkan²</w:t>
      </w:r>
      <w:r>
        <w:rPr>
          <w:b w:val="0"/>
        </w:rPr>
        <w:t xml:space="preserve"> efter en föregångsman inom det svenska flygväsendet, skulle det icke</w:t>
        <w:br/>
        <w:br/>
        <w:t>vara prejudicerande för andra änkor efter omkomna flygare, som icke vore militärflygare och alltså icke på den grund vore berätti-</w:t>
        <w:br/>
        <w:br/>
        <w:t xml:space="preserve">gade till pension. Utskottet har ställt sig på den ståndpunkten, och Thulins </w:t>
      </w:r>
      <w:r>
        <w:rPr>
          <w:b/>
        </w:rPr>
        <w:t>änka²</w:t>
      </w:r>
      <w:r>
        <w:rPr>
          <w:b w:val="0"/>
        </w:rPr>
        <w:t>.</w:t>
        <w:br/>
        <w:br/>
        <w:t>jag förmodar, att även om denna kammare skulle bifalla motionen. så nödgas det oaktat utskottet hävda sin principiella ståndpunkt. Jag förstår, att här föreligger ömmande skäl, men utskottet har i alla fall för framtiden velat förbehålla sig fri handlingsrätt i detta avseende, ty om flygväsendet utvecklar sig alltmer, får frågan ordnas på annat sätt än att riksdagen på framställning av olika motionärer beviljar understöd av statsmedel. Jag ber att få yrka bifall till utskottets hemställan.</w:t>
      </w:r>
    </w:p>
    <w:p>
      <w:pPr>
        <w:pStyle w:val="Heading2"/>
      </w:pPr>
      <w:r>
        <w:t>3. unknown (–, –)</w:t>
      </w:r>
    </w:p>
    <w:p>
      <w:r>
        <w:rPr>
          <w:b w:val="0"/>
        </w:rPr>
        <w:t>Jag vill icke uttala något klander mot bankoutskottet för dess avslagsyrkande, ty jag förstår, att utskottet maste hålla på bestämda principer i understödsfrågor, och jag är tacksam för, att utskottet gör så. I vissa fall har emellertid riksdagen ansett sig böra avvika från den strikta ståndpunkt utskottet måst intaga i sådana frågor, och jag tror och vågar påstå, att här föreligger ett alldeles exceptionellt fall, då riksdagen bör taga avstånd från vad bankoutskottet av principiella skäl ansett sig böra föreslå. Det är dock så, att när det gäller verkliga föregångsmän inom vetenskapen eller andra områden, — personer, som direkt eller indirekt gjort svenska staten och folket särskilda tjänster — bör man se till. att deras efterlevande anhöriga icke lida nöd.</w:t>
        <w:br/>
        <w:br/>
        <w:t xml:space="preserve">Det föreligger verkligen ett sådant fall här. Jag kan bekräfta, på grund av den personliga kännedom jag har om förhållandena, att doktor Thulins </w:t>
      </w:r>
      <w:r>
        <w:rPr>
          <w:b/>
        </w:rPr>
        <w:t>änka²</w:t>
      </w:r>
      <w:r>
        <w:rPr>
          <w:b w:val="0"/>
        </w:rPr>
        <w:t xml:space="preserve"> är fullständigt medellös. Det förhåller sig till och med så, att Thulins dödsbo har en stor skuld till Thulinverkens konkursbo. 'Som bekant bar sig icke detta företag utan gick i konkurs, och doktor Thulin hade iklätt sig personliga förbindelser för mera, än han förfogade över. Därför har denna stora skuld till konkursboet uppkommit, vilken naturligtvis icke kan ersättas.</w:t>
        <w:br/>
        <w:br/>
        <w:t>Således föreligga här särskilt ömmande omständigheter. Under förutsättning, att man medgiver, att Thulin är en föregångsman imom flygkonsten här i vårt land, bör riksdagen också visa sin erkänsla härför genom att understödja hans efterlevande anhöriga, när dessa behöva ett sådant understöd, vilket här är fallet, och, såsom den ärade reservanten framhållit, förut skett i ett liknande fall. Något prejudicerande beslut anser jag icke, att det kan bli tal om i förevarande fall, ty vi ha icke haft mera än dessa två verkliga föregångsmän på flygkonstens område. Vi ha många utmärkt skickliga flygare, men de verkliga föregångsmännen voro friherre Cederström och doktor Thulin, och vid en jämförelse dem emellan får man nog sätta doktor Thulin i främsta rummet.</w:t>
        <w:br/>
        <w:br/>
        <w:t>Jag skall icke upptaga tiden längre. Jag tror mig veta, att det finns stora sympatier för motionen inom kammaren, och jag vagar uttrycka en livlig förhoppning om, att den skall bli bifallen.</w:t>
        <w:br/>
        <w:br/>
        <w:t>Jag ber också att få yrka bifall till densamma.</w:t>
      </w:r>
    </w:p>
    <w:p>
      <w:pPr>
        <w:pStyle w:val="Heading2"/>
      </w:pPr>
      <w:r>
        <w:t>4. Ulrik Leander (Frisinnade folkpartiet, man)</w:t>
      </w:r>
    </w:p>
    <w:p>
      <w:r>
        <w:rPr>
          <w:b w:val="0"/>
        </w:rPr>
        <w:t>Herr talman! Då motionären åtnjuter ledig-</w:t>
        <w:br/>
        <w:br/>
        <w:t>het och således tyvärr icke är närvarande för att svara för sin motion, ber jag att med några ord få uttala mig om densamma.</w:t>
        <w:br/>
        <w:br/>
        <w:t xml:space="preserve">Det är ganska underligt, att man icke sökt ordna frågan om pension för </w:t>
      </w:r>
      <w:r>
        <w:rPr>
          <w:b/>
        </w:rPr>
        <w:t>kvinnliga¹</w:t>
      </w:r>
      <w:r>
        <w:rPr>
          <w:b w:val="0"/>
        </w:rPr>
        <w:t xml:space="preserve"> daglönare lika väl som för manliga. Läser man noggrant utskottets utlåtande, så tyckes också utskottet vara. av samma mening. Här har man ett eklatant exempel på det mångskriveri, som råder hos oss och som ofta varit påtalat, men vilket man, när allt kommer omkring, icke tyckes vilja komma ifrån. När de </w:t>
      </w:r>
      <w:r>
        <w:rPr>
          <w:b/>
        </w:rPr>
        <w:t>kvinnliga¹</w:t>
      </w:r>
      <w:r>
        <w:rPr>
          <w:b w:val="0"/>
        </w:rPr>
        <w:t xml:space="preserve"> daglönarna uppnått pensionsåldern, så skall varvschefen eller den myndighet, som de sortera under, skriva till marinförvaltningen, marinförvaltningen skall skriva till Kung. Maj:t och anhålla om avlämnande av proposition till riksdagen, sedan skall Kungl. Maj:t avlåta sin proposition, som riksdagen därefter har att i vanlig ordning behandla. Det vore enligt min mening bra mycket enklare, om man ordnade denna fråga så, att de </w:t>
      </w:r>
      <w:r>
        <w:rPr>
          <w:b/>
        </w:rPr>
        <w:t>kvinnliga¹</w:t>
      </w:r>
      <w:r>
        <w:rPr>
          <w:b w:val="0"/>
        </w:rPr>
        <w:t xml:space="preserve"> daglönarna, då de uppnått pensionsåldern, endast hade att göra framställning om den pension, som reglementsenligt tillfaller dem.</w:t>
        <w:br/>
        <w:br/>
        <w:t>Nu förstår jag ju, att icke utskottet här har kunnat bifalla motionen, ty det är nog riktigt, som utskottet säger, att det behövs en utredning, och »en dylik utredning har utskottet icke varit i tillfälle att verkställa», heter det. Men utskottet hade naturligtvis kunnat föreslå en dylik utredning. Men då nu utskottet icke gJort det, så hoppas jag, att motionären eller någon annan måtte ett annat år taga upp frågan igen och då föreslå den utredning, som utskottet åtminstone indirekt förordat, för att de kvinunliga daglönarna NR få sin pensionsfråga ordnad och veta, vad de ha att rätta sig efter.</w:t>
        <w:br/>
        <w:br/>
        <w:t>Jag har här givetvis intet yrkande att framställa.</w:t>
        <w:br/>
        <w:br/>
        <w:t>Visar någon i behandling av djur uppenbar grymhet, genom misshandel, överansträngning, vanvård eller annorledes, straffes för djurplågeri med böter. Är djurplågeriet av svår beskaffenhet eller äro omständigheterna eljest synnerligen försvårande; må till fängelse i högst sex månader dömas.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