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400</w:t>
      </w:r>
    </w:p>
    <w:p>
      <w:r>
        <w:rPr>
          <w:b/>
        </w:rPr>
        <w:t xml:space="preserve">Datum: </w:t>
      </w:r>
      <w:r>
        <w:t>1921-04-08</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Jacob Spens (Första kammarens nationella parti, man)</w:t>
      </w:r>
    </w:p>
    <w:p>
      <w:r>
        <w:rPr>
          <w:b w:val="0"/>
        </w:rPr>
        <w:t>Herr förste vice talman, mina herrar! I den föreliggande motionen hemställes av herr Pehrsson i andra kammaren, att polismyndighet skall vara skyldig att på hemställan av barnavårdsman låta i tidningen Polisunderrättelser efterlysa fadern till barn utom äktenskap, såvida det styrkes, att faderskapet är fastställt.</w:t>
        <w:br/>
        <w:br/>
        <w:t xml:space="preserve">Över detta förslag har ordföranden i första lagutskottet begärt yttrande av svenska fattigvårdsförbundets barnavårdsutskott. Detta har emellertid ansett, att det under inga förhållanden vore tillrådligt, att barnavårdsman finge befogenhet att hos polismyndighet begära sådan efterlysning, som nu ifrågasatts, och barnavårdsutskottet har även ställt sig tveksamt om lämpligheten av en bestämmelse, att en sådan befogenhet tillerkändes barnavårdsnämnd. Samma barnavårdsutskott har även framhållit, att lika väl som fäder till oäkta barn efterlystes, borde även </w:t>
      </w:r>
      <w:r>
        <w:rPr>
          <w:b/>
        </w:rPr>
        <w:t>mödrar²</w:t>
      </w:r>
      <w:r>
        <w:rPr>
          <w:b w:val="0"/>
        </w:rPr>
        <w:t xml:space="preserve"> till oäkta barn, vilka ofta resa bort från barnen, ävensom föräldrar till äkta barn, då de försumma sin underhållsskyldighet, kunna efterlysas. Barnavårdsutskottet har därför föreslagit, att det skulle utgivas en alldeles särskild publikation för efterlysning av alla anmälda försvunna personer. Denna publikation skulle utdelas, utom till polismyndigheter, även till barnavårdsnämnder och fattigvårdsstyrelser och antagligen även till barnavårdsmännen. Därigenom tänkte sig utskottet, att man även skulle få reda på sådana personer, som blott misstänktes för att vara fäder till oäkta barn.</w:t>
        <w:br/>
        <w:br/>
        <w:t>Nu har första lagutskottet i det förevarande utlåtandet föreslagit en skrivelse till Kungl. Maj:t med anhållan om en så vidsträckt utredning, att den komme att omfatta alla såväl motionärens som barnavårdsutskottets önskemål. Häremot hava herr Hederstierna och jag anfört reservation.</w:t>
        <w:br/>
        <w:br/>
        <w:t>Denna fråga om efterlysning av underhållsskyldiga personer i tidningen Polisunderrättelser var förra året föremål för riksdagens prövning. En enskild motionär i andra kammaren hade även då väckt motion i ämnet. Denna motion avstyrktes i första lagutskottet och avslogs</w:t>
        <w:br/>
        <w:br/>
        <w:t>maren antog en av utskottets ordförande avgiven reservation, vari tillstyrktes, att barnavårdsnämnden i stället för barnavårdsmannen skulle få befogenhet att i Polisunderrättelser låta efterlysa personer, som försummade fullgöra sin underhållsplikt.</w:t>
        <w:br/>
        <w:br/>
        <w:t>Emot införande i Polisunderrättelser av ifrågavarande efterlysningar har fattigvårdsförbundets barnavårdsutskott riktat en skarp och enligt min mening riktig kritik. Barnavårdsutskottet framhåller nämligen, att man i avseende på lagstiftningen om barn utom äktenskap rörde sig på ett synnerligen grannlaga område, där man för ett rättvist bedömande av försummandet av försörjningsplikten i de enskilda fallen måste taga hänsyn till personliga förhållanden och andra omständigheter. ”Man kan nämligen icke”, säger barnavårdsutskottet vidare, ”skära alla försumliga underhållsskyldiga över en kam, och, innan en så sträng och ingripande åtgärd vidtages som en efterlysning i Polisunderrättelser, böra garantier föreligga för att den underhållsskyldige med berått mod undandragit sig sin skyldighet, ehuru han haft förmåga att fullgöra densamma. Nu torde ofta själva det faktum, att underhållsbidraget uteblivit, tydas såsom en avsiktlig föresats hos den underhållsskyldige att svika sin skyldighet.” — Vidare framhåller barnavårdsutskottet, att tidningen Polisunderrättelser avsetts för efterlysning av svårare förbrytare och av för allmänna säkerheten vådliga personer. Barnavårdsutskottet har därför, såsom jag förut nämnt, föreslagit utgivande av en särskild publikation för efterlysning av alla försvunna personer. .</w:t>
        <w:br/>
        <w:br/>
        <w:t>För min del anser jag visserligen, att syftet med dessa förevarande förslag är i hög grad behjärtansvärt, men jag anser, att de föreslagna åtgärderna ej skulle bliva effektiva, ehuru de skulle medföra avsevärda kostnader, isynnerhet om en särskild publikation skulle komma att utgivas. Den avvikne försumlige underhållsskyldige skulle nämligen i allmänhet ej på grund av efterlysningen anträffas av myndigheterna, försåvitt han ej begått något brott, ty eljest får myndigheten på den nya orten, dit han flyttat, ej reda på honom. Om en myndighet får se en mängd namn på försvunna personer i en publikation och icke har någon anledning att tro, att några av dem skulle begivit sig just till hans distrikt, så är det ingen särskild anledning att försöka efterspana alla dessa, och några särskilda signalement komma väl för övrigt ofta att icke föreligga. Detsamma är förhållandet, om det skulle bli efterlysning i Polisunderrättelser. Även där skulle det bli samma ringa grad av effektivitet. Om den försvunne däremot skulle begå brott å den nya uppehållsorten och anhållas därför, har han i regel inga tillgångar att fullgöra sin underhållsskyldighet, och då är det icke mycket bevänt med att han för sådant ändamål anhålles. Jag försäkrar herrarna, att om jag trodde, att de här föreslagna åtgärderna skulle bidraga till fyllandet av det behjärtansvärda syftet med motionärerens och utskottets hemställan, skulle jag icke hava något emot att en skrivelse avlätes.</w:t>
        <w:br/>
        <w:br/>
        <w:t>Vidare är det ytterligare skäl mot en sådan efterlysning. Ofta skulle</w:t>
        <w:br/>
        <w:br/>
        <w:t xml:space="preserve">nämligen efterlysningen medföra ett svårt obehag för ej blott barnets fader utan även för dess </w:t>
      </w:r>
      <w:r>
        <w:rPr>
          <w:b/>
        </w:rPr>
        <w:t>moder²</w:t>
      </w:r>
      <w:r>
        <w:rPr>
          <w:b w:val="0"/>
        </w:rPr>
        <w:t xml:space="preserve">, då det är fråga om oäkta barn. Modern komme nämligen nog ej alltid att tillfrågas, om </w:t>
      </w:r>
      <w:r>
        <w:rPr>
          <w:b/>
        </w:rPr>
        <w:t>hon²</w:t>
      </w:r>
      <w:r>
        <w:rPr>
          <w:b w:val="0"/>
        </w:rPr>
        <w:t xml:space="preserve"> önskade en sådan efterlysning. Om efterlysningen nu, såsom utskottet tänkt sig, skulle utsträckas även till alla underhållsskyldiga, således även till äkta barns föräldrar samt till personer, som hava att underhålla orkeslösa eller sjuka föräldrar, så bleve saken än värre. Exempelvis skulle lätt svårare oenighet mellan makar därigenom kunna åstadkommas. Härtill kommer den omständigheten, att fattigvårdslagstiftningskommittén nu håller på med en fullständig revision av barnavårdslagarna och säkerligen kommer att beakta även denna fråga. Någon skrivelse är således obehövlig och föranleder endast kostnader och besvär, vilket alla riksdagsskrivelser göra, även om de överlämnas till en befintlig kommitté, ty en riksdagsskrivelse föranleder nästan alltid en grundlig och vidlyftig utredning i den vanliga tågordningen med remisser till myndigheter — i detta fall jämväl kommunala myndigheter — uppgörande av statistik, utsändande av frågeformulär o. s. v.</w:t>
        <w:br/>
        <w:br/>
        <w:t>På grund av vad jag nu anfört tillåter jag mig, herr vice talman, att yrka avslag på utskottets hemställan i tredje punkten.</w:t>
      </w:r>
    </w:p>
    <w:p>
      <w:pPr>
        <w:pStyle w:val="Heading2"/>
      </w:pPr>
      <w:r>
        <w:t>2. Nils Alexanderson (Liberala samlingspartiet, man)</w:t>
      </w:r>
    </w:p>
    <w:p>
      <w:r>
        <w:rPr>
          <w:b w:val="0"/>
        </w:rPr>
        <w:t xml:space="preserve">Herr talman! Alla äro vi väl ense därom, att det är av vikt att den lagstiftning, som nyligen antagits av riksdagen till förmån för understöd åt utom äktenskapet födda barn och hjälp åt deras </w:t>
      </w:r>
      <w:r>
        <w:rPr>
          <w:b/>
        </w:rPr>
        <w:t>mödrar²</w:t>
      </w:r>
      <w:r>
        <w:rPr>
          <w:b w:val="0"/>
        </w:rPr>
        <w:t xml:space="preserve"> i och för deras uppfostran, också blir i sina verkningar effektiv. Det var för lagberedningen liksom för riksdagen icke oklart att de åtgärder, som vidtogos genom denna lagstiftning, på vissa punkter kunde behöva förbättras och kompletteras i den mån erfarenheten visade det vara behövligt. Det är fråga om en sådan liten kompletteringsanordning i det föreliggande ärendet.</w:t>
        <w:br/>
        <w:br/>
        <w:t>Den efterlysning, som här är ifrågaställd, har ju utskottet icke bestämt förutsatt skola komma att äga rum genom tidningen Polisunderrättelser, utan i utskottets kläm är förutsatt den möjligheten att man kunde använda någon annan publikationsform, kanske någon särskild publikation för ändamålet. Den huvudinvändning reservanterna göra, särskilt uttryckt genom deras åberopande i reservationen av vad utskottet själv sade i fjol, är ju att detta efterlysande skulle visa sig ineffektivt, och för denna ståndpunkt åberopades särskilt i fjol — och i dag av greve Spens — att polismyndigheterna icke ha anledning att ta reda på vilka personer som kommit in i deras distrikt, så framt dessa personer icke kommit i konflikt med strafflagen. Om de däremot sköta sig oklanderligt i detta hänseende blir det inte bekant att de vistas, efter att ha flyttat dit, på någon arbetsplats inom distriktet, och på så sätt skulle hela förfarandet bli ineffektivt.</w:t>
        <w:br/>
        <w:br/>
        <w:t>Sedan utskottet i fjol bildade sig sin uppfattning har nog emellertid saken kommit i ett annat läge. Utskottet har nämligen från barnavårdshåll fått upplysning om, att barnavårdsmyndigheterna numera 1</w:t>
        <w:br/>
        <w:br/>
        <w:t>allt större utsträckning söka räcka varandra handen för utförande av Om tillvarasina uppgifter och att det för dessa uppgifters fyllande skulle vara av tagande av</w:t>
        <w:br/>
        <w:br/>
        <w:t>betydelse för barnavårdsmyndigheterna, om en sådan publikation fun-</w:t>
        <w:br/>
        <w:br/>
        <w:t>nes, i vilken dessa underhållsskyldige kunde efterlysas. Ty låt vara parnsock att icke polismyndigheterna i ett visst distrikt ha anledning att ta reda deras mödpå, om en person som inflyttat kommit i konflikt med strafflagen, så rarsrätt</w:t>
        <w:br/>
        <w:br/>
        <w:t>förhåller det sig på ett helt annat sätt med barnavårdsmyndigheterna. De kunna med ledning av efterlysningen skaffa sig vetskap om, huruvida icke till distriktet inkommit en efterlyst person, och det har också meddelats oss, att barnavårdsmyndigheterna redan nu i åtskilliga fall sett sig i stånd att ta reda på sådana försumliga underhållskyldiga, vilka polismyndigheterna däremot, trots begäran, icke lyckats uppspana. Men deras förmåga är naturligtvis begränsad och behöver på allt sätt understödjas. Jag tror, att med den begränsning, som redan motionären och även utskottet givit åt användandet av institutet till sådana fall, där faderskapets tillvaro är rättsligen konstaterad, man icke behöver vara alltför öm om dessa barnafäder med hänsyn till det obehag, som efteriysandet kunde för dem medföra. Samhället har nog snarare anledning att försöka tillhålla dem med även tämligen kraftiga medel att fullgöra sina skyldigheter.</w:t>
        <w:br/>
        <w:br/>
        <w:t>Jag ber att på grund av vad jag nu anfört få hemställa om bifall till utskottet i denna punkt.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400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