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1532</w:t>
      </w:r>
    </w:p>
    <w:p>
      <w:r>
        <w:rPr>
          <w:b/>
        </w:rPr>
        <w:t xml:space="preserve">Datum: </w:t>
      </w:r>
      <w:r>
        <w:t>1921-06-11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Johan Bärg (Socialdemokraterna, man)</w:t>
      </w:r>
    </w:p>
    <w:p>
      <w:r>
        <w:rPr>
          <w:b w:val="0"/>
        </w:rPr>
        <w:t>Herr talman! Jag skall vara lika kortfattad som den föregående ärade talaren. Innan jag går att yrka bifall till den socialdemokratiska reservationen, vili jag göra några sakliga anmärkningar och erinringar emot utskottets förslag. Dessförinnan ber jag dock att få säga, att jag icke tycker det tjänar så ofantligt mycket till att försöka blåsa upp sig i denna fråga eller slå på alltför hårda strängar. Jag tror icke att den sak, som vi här tala för och söka främja, nämligen det bättre förslaget, betjänas därutav. Jag vill också säga, att det icke är riktigt rätt att förneka de förmåner, som särskilt under denna tid likväl följa med statstjänsten. Ser man nämligen denna fråga mot bakgrunden av de nu rådande förhållandena på arbetsmarknaden, gör man icke fullständigt rätt uti att göra det påståendet. För att bevisa det berättigade i att ge statstjänarna ett rimligt dyrtidstillägg, räcker det fullt väl att hålla sig till verkligt reella fakta.</w:t>
        <w:br/>
        <w:br/>
        <w:t>Vid den övergång, som skedde 1919 från att ge rena dyrtidstillägg utan att taga hänsyn till familjebehovsprincipen, och man därvid frånträdde den metod, som man då förut hade prövat, tillät jag mig att göra vissa erinringar mot det system, som man åter slog in på, och som man förut en gång hade lämnat, nämligen att i alltför hög grad utveckla familjebehovsprincipen. Det tjänar icke nu mycket till att orda om den saken, men jag vill endast påpeka, att man, i och med att man fortsätter på denna väg, kommer fram till ganska konstiga konsekvenser. Därom vittna såväl Kungl. Maj:ts förslag som det föreliggande utskottsförslaget och jämväl i viss mån reservanternas förslag.</w:t>
        <w:br/>
        <w:br/>
        <w:t>Låt mig visa på ett par små förhållanden, som jag i detta sam- Ang. dyrtidsmanhang tycker man har skäl att peka på. Det finns bland annat fllägg åt be-</w:t>
        <w:br/>
        <w:br/>
        <w:t xml:space="preserve">här föreslaget, att gift </w:t>
      </w:r>
      <w:r>
        <w:rPr>
          <w:b/>
        </w:rPr>
        <w:t>kvinnlig¹</w:t>
      </w:r>
      <w:r>
        <w:rPr>
          <w:b w:val="0"/>
        </w:rPr>
        <w:t xml:space="preserve"> befattningshavare, vars man på grund"</w:t>
        <w:br/>
        <w:br/>
        <w:t>av bristande arbetsförmåga är väsentligt urståndsatt att bidraga till tjänst m. m.</w:t>
        <w:br/>
        <w:br/>
        <w:t xml:space="preserve">hemmets underhåll, skall ha rätt att räkna sig som familjeförsörjare. Om mannen däremot på annat sätt uraktlåter att bidraga till hemmets uppehälle, om han t. ex. rymt från </w:t>
      </w:r>
      <w:r>
        <w:rPr>
          <w:b/>
        </w:rPr>
        <w:t>henne²</w:t>
      </w:r>
      <w:r>
        <w:rPr>
          <w:b w:val="0"/>
        </w:rPr>
        <w:t xml:space="preserve"> till Amerika eller någon annanstans, så att </w:t>
      </w:r>
      <w:r>
        <w:rPr>
          <w:b/>
        </w:rPr>
        <w:t>hustrun²</w:t>
      </w:r>
      <w:r>
        <w:rPr>
          <w:b w:val="0"/>
        </w:rPr>
        <w:t xml:space="preserve"> blivit alldeles blottställd, då betraktas </w:t>
      </w:r>
      <w:r>
        <w:rPr>
          <w:b/>
        </w:rPr>
        <w:t>hon²</w:t>
      </w:r>
      <w:r>
        <w:rPr>
          <w:b w:val="0"/>
        </w:rPr>
        <w:t xml:space="preserve"> icke som familjeförsörjare och får icke rätt till högre tillägg. Det förefaller ju ganska konstigt. Jag vet skälet till det, nämligen att det påstås vara mycket svårt att bevisa, att mannen under sådana omständigheter icke bidrar till hemmets uppehälle. Det är dock påtagligt, att, om man följer ordalydelsen, kommer man till sådana rent orimliga saker.</w:t>
        <w:br/>
        <w:br/>
        <w:t xml:space="preserve">Ett annat dylikt förhållande inträffar, om en statstjänares </w:t>
      </w:r>
      <w:r>
        <w:rPr>
          <w:b/>
        </w:rPr>
        <w:t>hustru²</w:t>
      </w:r>
      <w:r>
        <w:rPr>
          <w:b w:val="0"/>
        </w:rPr>
        <w:t xml:space="preserve"> avlider och han nödgas taga sig en </w:t>
      </w:r>
      <w:r>
        <w:rPr>
          <w:b/>
        </w:rPr>
        <w:t>hushållerska³</w:t>
      </w:r>
      <w:r>
        <w:rPr>
          <w:b w:val="0"/>
        </w:rPr>
        <w:t>, vilket väl aldrig i fattiga hem betraktas annat än som en svårighet, som hemmet och familjefadern måste underkasta sig, förlorar han familjetillägget, därför att husföreståndarinnan icke får betraktas som familjemedlem.</w:t>
        <w:br/>
        <w:br/>
        <w:t>Man får nu dras med några sådana saker, som man borde försöka undvika, och som man med den nuvarande principen icke kan komma ifrån, men som för den enskilde statstjänaren känns som en uppenbar orättvisa.</w:t>
        <w:br/>
        <w:br/>
        <w:t>Jag vill påminna om ett förhållande, som skulle följa med ett antagande av utskottets förslag, och som herr Bengtsson i Norup har här vidrört, då han talade om det berättigade i att en statstjänare vid sjukdom skulle avstå från hela det dyrtidstillägg, som han hittills fått åtnjuta. Det kan finnas vissa skäl, som tala för detta. Jag vill dock erinra herr Bengtsson i Norup, som varit mycket mån om famil- Jebehovsprincipen i övrigt, att det förhållandet säkerligen rätt ofta kommer att inträffa, att i och med den minskade avlöning, som en statstjänare får vid sjukdom, kommer han icke upp till det lönebelopp, som berättigar honom att beräkna tillägg för familjemedlemmar. Sålunda kommer jämväl det föreslagna avdraget vid sjukdom att verka dithän, att det berövar en person rätten till familjetillägg. Jag tycker, att detta strider emot den uppfattning i övrigt, som herr Bengtsson i Norup har sökt förfäkta.</w:t>
        <w:br/>
        <w:br/>
        <w:t>Jag skall genast sluta, herr talman, men några ha här ondgjort sig över att det är så många talare, som äro själva intresserade i den sak, varom de yttra sig. Jag försäkrar, att ag personligen har mycket litet intresse för hur det går, och om man följer den ena eller den andra linjen i detta fall, men det kan icke hjälpas, att den, som sysslat åtskilligt med statstjänarnas angelägenheter, och som känner till stämningarna där ute, särskilt bland dem, som man brukar kalla de djupa leden av statstjänarna, och som vet, vilka bekymmer, som de hade under den tid, då dyrtiden ideligen stegrades, och som även har hört rätt många uttryck av tacksamhet för den hjälp, som har givits, den, som känner allt detta, säger jag, känner sig misslynt vid</w:t>
        <w:br/>
        <w:br/>
        <w:t>tanken, att det återigen skall börja spira upp ett stort och utbrett missnöje bland statstjänarnas led. Jag tror, att man icke gagnar staten och statsverket genom att lägga det på det sättet.</w:t>
        <w:br/>
        <w:br/>
        <w:t>Jag vill erinra om huru förhållandena voro år 1916 och 1917, då man till följd av de dåliga lönerna för den extra personalen nödgades antaga en hel mängd personer, som voro mycket litet kvalificerade för statstjänsten, och vilka olägenheter, detta förde med sig, och vilket till slut resulterade i strejker och tråkigheter, som man förvisso skulle kunnat undvika, om man hade följt en annan linje.</w:t>
        <w:br/>
        <w:br/>
        <w:t>Innan jag slutar, herr talman, vill jag rikta en direkt fråga till utskottets talesmän. Jag kan ju få vända mig direkt till herr Bengtsson i Norup, som här uppträtt som sådan, och fråga honom, vad meningen egentligen är med den föreliggande tabellen i utskottets betänkande. Ja, herr Bengtsson i Norup behagar icke höra på, och därför kan jag icke vänta något svar. ( Herr Bengtsson i Norup vände sig härvid mot talaren.) Jag tillåter mig upprepa, vad jag nyss sade, att jag, innan jag slutar, skall be att få rikta en direkt fråga till utskottets talesmän, enkannerligen herr Bengtsson 1 Norup, som uppträtt såsom sådan, vad som egentligen menas med den i utskottets betänkande föreliggande tabelluppställningen. På sidan 18 säger utskottet här: »Efterföljande tabell utvisar de totala avlöningsförmånerna för olika befattningshavare före och efter nyregleringen enligt såväl Kungl. Maj:ts som utskottets förslag. Såsom därav framgår, skulle på ett och annat håll behöva tillgripas personliga dyrtidstillägg enligt $ 4 mom. 2 i den föreslagna kungörelsen. Att så skulle behöva ske i någon mera betydande utsträckning vore naturligen ur praktisk synpunkt synnerligen olämpligt. Utskottet har jämväl härav hämtat anledning att, på sätt ovan sagts, begränsa den ifrågavarande reduktionen.»</w:t>
        <w:br/>
        <w:br/>
        <w:t xml:space="preserve">Då jag nu ser på denna tabell, finner jag, att utskottet, för att visa, att man icke kommer i den klämman att behöva tillämpa $ 4 mom. 2, har räknat med den högsta dyrortsgruppen, där de tjänstehavare icke äro till finnandes, på vilka denna bestämmelse skall tillämpas. Utskottet har därför också lyckats få fram en tabell, som visar, att endast ett par befattningshavaregrupper, nämligen sekreteraregruppen och </w:t>
      </w:r>
      <w:r>
        <w:rPr>
          <w:b/>
        </w:rPr>
        <w:t>kvinnliga¹</w:t>
      </w:r>
      <w:r>
        <w:rPr>
          <w:b w:val="0"/>
        </w:rPr>
        <w:t xml:space="preserve"> biträden av andra graden skulle råka ut för en sådan minskning, att personliga tillägg krävas. Saken är ju dock den — det veta ju herrarna, ty veta herrarna det icke, kunna ni icke er sak — att denna avlöningsminskning inträffar på de billigaste orterna i landet, men dem har man icke räknat med. En liten överblick över förhållandena exempelvis i ett av statens järnvägars distrikt visar, att omkring 25 procent av samtliga banvakter, som äro anställda på billigaste ort, komma att falla under denna klausul.</w:t>
        <w:br/>
        <w:br/>
        <w:t>Herr Liäbeck har nyss erinrat om att det för krigsfolket skulle krävas personliga tillägg för omkring 3,000 personer. Jag vågar försäkra, att det vid kommunikationsverken icke förslår med 3,000 personer. Jag tror mig kunna påstå, att man kommer att få tilllämpa 8 4 för ett tiotusendetal tjänstehavare inom hela statsförvalt-</w:t>
        <w:br/>
        <w:br/>
        <w:t>ningen. Vid alla de växlingar, som ha skett, tror jag man får tillsätta, höll jag på att säga, ett litet ämbetsverk för att räkna ut alla dessa personliga tillägg. Det är kanske litet överdrivet, men det förstå ju herrarna, att det blir icke så litet besvär att räkna ut personliga tillägg för en sådan mängd tjänstemän. Herr Libecks reservation avhjälper i någon mån den saken, men icke heller den är tillfyllest.</w:t>
        <w:br/>
        <w:br/>
        <w:t>Tabellen i fråga har mycket förvånat mig, ty det kan väl icke vara okunnighet om förhållandena, som gör, att statsutskottet har använt den nuvarande uppställningen, och något annat vill jag icke tro, att det är. För den, som känner något litet till saken, må jag säga, att det förefaller synnnerligen märkvärdigt.</w:t>
        <w:br/>
        <w:br/>
        <w:t>Herr talman! Jag ber att få yrka bifall till den av herr Olsson m. fl. vid betänkandet fogade reservationen.</w:t>
        <w:br/>
        <w:br/>
        <w:t>ärvi</w:t>
      </w:r>
    </w:p>
    <w:p>
      <w:pPr>
        <w:pStyle w:val="Heading2"/>
      </w:pPr>
      <w:r>
        <w:t>2. Ola Hansson Walden (Socialdemokraterna, man)</w:t>
      </w:r>
    </w:p>
    <w:p>
      <w:r>
        <w:rPr>
          <w:b w:val="0"/>
        </w:rPr>
        <w:t>Herr talman! Vid detta utskottsutlåtande är liksom vid några av de följande, som avse dyrtidstillägg, fogat en reservation av de socialdemokratiska ledamöterna, och ett bifall till denna reservation är endast en konsekvens av det beslut, som kammaren nyss har fattat. Beträffande detta utlåtande avser det dels ändring i $ 2, så att det blir samma dyrtidstillägg för dessa tjänstemän som genom kammarens beslut bestämts för nyreglerade verk, och dels en ändring i $ 3, så att det blir dyrtidstillägg för avdrag vid sjukdom, som uyss beslutades för tjänstemän i allmänhet.</w:t>
        <w:br/>
        <w:br/>
        <w:t>Jag ber därför, herr talman, att få yrka bifall till den vid detta utlåtande fogade, av herr O. U. B. Olsson m. fl. avgivna reservationen.</w:t>
      </w:r>
    </w:p>
    <w:p>
      <w:pPr>
        <w:pStyle w:val="Heading2"/>
      </w:pPr>
      <w:r>
        <w:t>3. Ola Hansson Walden (Socialdemokraterna, man)</w:t>
      </w:r>
    </w:p>
    <w:p>
      <w:r>
        <w:rPr>
          <w:b w:val="0"/>
        </w:rPr>
        <w:t>Herr talman! Av samma skäl, som jag nyss anförde, ber jag, herr talman, att få yrka bifall till den vid utskottets utlåtande fogade reservationen, som avgivits av herr</w:t>
        <w:br/>
        <w:br/>
        <w:t xml:space="preserve">De tre läroanstalter för utbildande av </w:t>
      </w:r>
      <w:r>
        <w:rPr>
          <w:b/>
        </w:rPr>
        <w:t>lärarinnor³</w:t>
      </w:r>
      <w:r>
        <w:rPr>
          <w:b w:val="0"/>
        </w:rPr>
        <w:t xml:space="preserve"> i handarbete, som i propositionen avsåges, voro högre arbetslärarinneseminariet vid Maria Nordenfelts </w:t>
      </w:r>
      <w:r>
        <w:rPr>
          <w:b/>
        </w:rPr>
        <w:t>kvinnliga¹</w:t>
      </w:r>
      <w:r>
        <w:rPr>
          <w:b w:val="0"/>
        </w:rPr>
        <w:t xml:space="preserve"> yrkesskola i Göteborg, Andrea Eneroths handarbetsskola och seminarium i Stockholm samt föreningen Handarbetets vänners och Hulda Lundins högre slöjdseminarium i Stock-</w:t>
      </w:r>
    </w:p>
    <w:p>
      <w:pPr>
        <w:pStyle w:val="Heading2"/>
      </w:pPr>
      <w:r>
        <w:t>4. Carl Johan Johansson (Socialdemokraterna, man)</w:t>
      </w:r>
    </w:p>
    <w:p>
      <w:r>
        <w:rPr>
          <w:b w:val="0"/>
        </w:rPr>
        <w:t xml:space="preserve">Herr talman! Förevarande utlåtande gäller bl. a. frågan om dyrtidstillägg för </w:t>
      </w:r>
      <w:r>
        <w:rPr>
          <w:b/>
        </w:rPr>
        <w:t>lärarinnorna³</w:t>
      </w:r>
      <w:r>
        <w:rPr>
          <w:b w:val="0"/>
        </w:rPr>
        <w:t xml:space="preserve"> vid Uppsala fackskolas lanthushållningsseminarium vid Brogård. Det finns även en annan sådan utbildningsanstalt, nämligen Fredrika Bremer-förbundets seminarium vid Rimforsa, och det har varit ett önskemål, att man skulle få dessa båda jämnställda i löneavseende.</w:t>
        <w:br/>
        <w:br/>
        <w:t xml:space="preserve">Kungl. Maj:t har nu föreslagit riksdagen och jordbruksutskottet har tillstyrkt en lönereglering för Rimforsa seminarium. Kungl. Maj:t har förutsatt, att dyrtidstillägg skulle utgå med 50 2 å lönerna, och till samma resultat har statsutskottet kommit beträffande </w:t>
      </w:r>
      <w:r>
        <w:rPr>
          <w:b/>
        </w:rPr>
        <w:t>lärarinnorna³</w:t>
      </w:r>
      <w:r>
        <w:rPr>
          <w:b w:val="0"/>
        </w:rPr>
        <w:t xml:space="preserve"> vid Brogård. Emellertid har, så vitt jag förstår, ett förbiseende skett i statsutskottet.</w:t>
        <w:br/>
        <w:br/>
        <w:t xml:space="preserve">Det förhåller sig nämligen så, att </w:t>
      </w:r>
      <w:r>
        <w:rPr>
          <w:b/>
        </w:rPr>
        <w:t>lärarinnorna³</w:t>
      </w:r>
      <w:r>
        <w:rPr>
          <w:b w:val="0"/>
        </w:rPr>
        <w:t xml:space="preserve"> vid Brogård, som nu skulle tilldelas dyrtidstillägg, ha den förmånen, att de utom fri bostad erhålla även fri kost. Annat är förhållandet vid Rimforsa. Där ha </w:t>
      </w:r>
      <w:r>
        <w:rPr>
          <w:b/>
        </w:rPr>
        <w:t>lärarinnorna³</w:t>
      </w:r>
      <w:r>
        <w:rPr>
          <w:b w:val="0"/>
        </w:rPr>
        <w:t xml:space="preserve"> inte denna förmån, utan måste lämna ersättning för densamma. Det synes under sådana förhållanden oegentligt, att dyrtidstillägg skall utgå efter de grunder, som utskottet föreslår till </w:t>
      </w:r>
      <w:r>
        <w:rPr>
          <w:b/>
        </w:rPr>
        <w:t>lärarinnorva³</w:t>
      </w:r>
      <w:r>
        <w:rPr>
          <w:b w:val="0"/>
        </w:rPr>
        <w:t xml:space="preserve"> vid Brogård. Skulle detta ske, komme dessa </w:t>
      </w:r>
      <w:r>
        <w:rPr>
          <w:b/>
        </w:rPr>
        <w:t>lärarinnor³</w:t>
      </w:r>
      <w:r>
        <w:rPr>
          <w:b w:val="0"/>
        </w:rPr>
        <w:t xml:space="preserve"> i en betydligt bättre ställning än de som äro anställda vid Rimforsa. Jag har här ett utdrag ur lantbruksstyrelsens yttrande om denna sak, där också detta förhållande påpekas.</w:t>
        <w:br/>
        <w:br/>
        <w:t xml:space="preserve">Vad själva lönerna beträffar, äro dessa litet högre vid Brogård än vid Rimforsa. Vid Rimforsa skall sålunda föreståndarinnan enligt den nya regleringen ha 4,000 kronor, jämte två ålderstillägg, under det att lönen i den högsta lönegraden, den fjärde, vid Brogård är 4,023 kronor, utan ålderstillägg. Lantbruksstyrelsen påpekar, att en jämförelse mellan avlöningarna för </w:t>
      </w:r>
      <w:r>
        <w:rPr>
          <w:b/>
        </w:rPr>
        <w:t>lärarinnorna³</w:t>
      </w:r>
      <w:r>
        <w:rPr>
          <w:b w:val="0"/>
        </w:rPr>
        <w:t xml:space="preserve"> vid dessa båda skolor, skulle, under de förutsättningar, som år 1920 föreslagits, ställa sig på det sättet, att för en </w:t>
      </w:r>
      <w:r>
        <w:rPr>
          <w:b/>
        </w:rPr>
        <w:t>lärarinna³</w:t>
      </w:r>
      <w:r>
        <w:rPr>
          <w:b w:val="0"/>
        </w:rPr>
        <w:t xml:space="preserve"> vid Rimforsa, som hade en lön av 2,500 kronor, med dyrtidstillägg sammanlagt 4,165 kronor, avginge ersättning för kost med 100 kronor i månaden eller 1,200 frronér om året, varför behållningen inte skulle bli mer än 2,965</w:t>
        <w:br/>
        <w:br/>
        <w:t xml:space="preserve">Lantbruksstyrelsen tillägger också, att skulle </w:t>
      </w:r>
      <w:r>
        <w:rPr>
          <w:b/>
        </w:rPr>
        <w:t>lärarinnorna³</w:t>
      </w:r>
      <w:r>
        <w:rPr>
          <w:b w:val="0"/>
        </w:rPr>
        <w:t xml:space="preserve"> i Brogård erhålla dyrtidstillägg, skillnaden i avlöningsförmåner mellan ifrågavarande båda skolor bleve, till favör för Brogård, lika med minst hela dyrtidstillägget.</w:t>
        <w:br/>
        <w:br/>
        <w:t>Jag skall icke upptaga tiden längre utan skall endast be att på dessa grunder framställa ett yrkande, som kommer att framställas även i första kammaren. Jag yrkar, att utskottets hemställan bifalles med den ändring, att punkten a) får följande lydelse:</w:t>
        <w:br/>
        <w:br/>
        <w:t xml:space="preserve">Samma yrkande kommer, som jag nämnde, att framställas i första kammaren. Ur detsamma har, såsom synes, uteslutits hemställan om dyrtidstillägg åt </w:t>
      </w:r>
      <w:r>
        <w:rPr>
          <w:b/>
        </w:rPr>
        <w:t>lärarinnorna³</w:t>
      </w:r>
      <w:r>
        <w:rPr>
          <w:b w:val="0"/>
        </w:rPr>
        <w:t xml:space="preserve"> vid Brogård.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