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421</w:t>
      </w:r>
    </w:p>
    <w:p>
      <w:r>
        <w:rPr>
          <w:b/>
        </w:rPr>
        <w:t xml:space="preserve">Datum: </w:t>
      </w:r>
      <w:r>
        <w:t>1921-06-11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Ekman (Första kammarens nationella parti, man)</w:t>
      </w:r>
    </w:p>
    <w:p>
      <w:r>
        <w:rPr>
          <w:b w:val="0"/>
        </w:rPr>
        <w:t>Då jag haft tillfälle att deltaga i detta ärendes förberedande behandling, anhåller jag att med några ord få klarlägga de olikheter, som föreligga i det från bankoutskottet komna utlåtandet gentemot det förslag, som löneregleringskommittén i denna lönefråga framlagt.</w:t>
        <w:br/>
        <w:br/>
        <w:t>Jag ber då först att allmänt och principiellt få säga, att man tidigare både inom verken och inom riksdagen nog haft den uppfattningen, att när det gällde befattningshavare hos riksdagen, borde dessa, frånsett själva befattningarnas egen betydelse, stå något högre än befattningshavare i allmänhet. Uttryck åt en sådan uppfattning kan man återfinna både i kommittéutlåtanden, utskottsuttalanden och riksdagsbeslut. När jag för min del hade att i år deltaga i behandlingen av detta löneregleringsärende, kunde jag icke finna, att man numera borde med skäl hävda en sådan mening. När man börjar lönereglera efter enhetliga principer, förefaller det mig, som om denna enhetlighet bör göra sig gällande ej blott beträffande statens befattningshavare inbördes utan jämväl beträffande riksdagens befattningshavare. Jag betraktar dem nämligen alla såsom statstjänare. För övrigt vill jag säga, att jag tror, att det är riktigt och lämpligt, att befattningshavarna känna, att löne-</w:t>
        <w:br/>
        <w:br/>
        <w:t>regleringsfrågorna handhavas på det sätt, att även den mest avlägsna Lönereglebefattningshavare — den som icke får tillfälle att konferera med uta vid riksäs : ös oo &amp; agens verk. skottsledamöter eller andra riksdagsledamöter, utan som har sin gärning —(Forts.) förlagd långt bort — får sin tjänst och sin uppgift bedömda med samma opartiskhet och samma oväld och sina intressen tillvaratagna på samma sätt som de, som kunna direkt påverka riksdagsmännen, på sätt riksdagens egna verks tjänstemän göra. I detta avseende kan man säga, att löneregleringskommitténs förslag i år något avvek från tidigare ståndpunkter. Dock erkänner givetvis kommittén, att i den mån befattningarna i riksdagens verk i och för sig på grund av sin egen betydelse böra högre värdesättas, skall och bör naturligtvis en dylik värdesättning också ske. Redan denna allmänna utgångspunkt innebär nog, att man kanske i bankoutskottet och löneregleringskommittén haft i någon mån olika utgångspunkter vid bedömandet av denna lönefråga. För övrigt vill jag säga, att då jag nu går in på de detaljförändringar, som utskottet åstadkommit i sitt förslag, jag haft svårt att på någon punkt finna fullgoda skäl för de företagna förändringarna. Jag skall så kort som möjligt beröra dessa förändringar. Den första förändringen är den, som den föregående ärade talaren berörde. Däri har utskottet återfört i en och samma lönegrupp ett antal befattningshavare, som kommittén vid behandlingen av ärendet fann skäligt och lämpligt att uppdela på två lönegrader. Tidigare var det ju så, att man i hela statsförvaltningen rörde sig egentligen endast med ett par, tre tjänstemannagrupper. Det nya lönesystem, som införts för statsförvaltningen i allmänhet, är ju däremot konstruerat på det sättet, att inom detsamma finnes inrymd en mängd lönegrader och löneklasser, varigenom givetvis en differentering av tjänstemännen kan ske på ett helt annat sätt än tidigare. Då så är fallet, har man också inom löneregleringskommittén funnit sig böra tillvarataga det nya systemets möjligheter och med objektivt bedömande av befattningarna sökt inpassa de olika befattningshavarna i de lönegrader, som motsvara deras ställning. Att gent emot det förfaringssätt, som man här har iakttagit, åberopa den omständigheten, att vederbörande tidigare varit införd j en annan lönegrupp, kan, såvitt jag förstår, icke tillmätas giltighet. Det är uppenbart, att när man åstadkommer ett nytt lönesystem, bör detta systems egenskaper tillämpas på varje befattningsgrupp, oberoende av dess tidigare ställning.</w:t>
        <w:br/>
        <w:br/>
        <w:t>När det då gäller att bedöma den grupp av befattningshavare, som det här är fråga om — ett 50-tal befattningshavare — fann löneregleringskommittén för sin del, att en uppdelning dessa befattningshavare emellan med skäl kunde ske. Det fanns uppenbarligen mellan dessa befattningshavare så stora olikheter, att om man gick från den viktigaste och mest betydelsefulla av dem ned till den lättaste, så var det ett så stort avstånd, att det kunde vara skäl att inpassa dem i två olika lönegrupper. När man kommer till mittlinjen, så är det svårt att säga var</w:t>
        <w:br/>
        <w:br/>
        <w:t>skillnaden skall gå, men i detta arbete hade kommittén vid sin prövning bistånd av dem, som i detta avseende hade tillfälle att göra de mest noggranna undersökningar och vara mest förtrogna med detaljerna i de olika avseenden, som kunde tänkas. Såsom följd därav framkom från kommittén ett förslag, att dessa befattningshavare skulle uppdelas på två olika lönegrader, den 13:de och den 14:de lönegraden.</w:t>
        <w:br/>
        <w:br/>
        <w:t>Vad skulle detta komma att innebära? Jo, utskottet använder ut-</w:t>
        <w:br/>
        <w:br/>
        <w:t>tryckssättet att säga, att därigenom vissa nu jämnställda befattningshavare skulle ”få vidkännas en relativ löneminskning”. För den med uttryckssättet litet mera ovane läsaren måste det naturligtvis kvarlämna den uppfattningen, att här skulle tillfogas den ena gruppen en verklig orätt. Så är givetvis icke fallet. Det förhåller sig nämligen i själva verket så, att vid ifrågavarande lönereglering skulle de till 13:de lönegraden hänförda befattningshavarna, vilka förut samtliga haft en begynnelselön av 4,800 kronor och dessutom på senare år 800 kronor i provisoriskt lönetillägg, sålunda sammanlagt 5,600 kronor, i begynnelselön få 6,420 kronor, och i slutlön, som för närvarande utgår för samtliga med 6,600 kronor, skulle — förutom dyrtidstillägg naturligtvis — de erhålla 7,668 kronor, sålunda en ökning av 1,068 kronor, under det att de, som skulle flyttas upp i 14:de lönegraden, skulle komma upp i slutlön till 8,124 kronor, d. v. s. erhålla en ökning av 1,524 kronor. Det är den praktiska betydelsen och innebörden av den lönereglering som sker. "= Nu säger utskottet, att utskottet har den uppfattningen, att en verklig ”godtycklighet” gjorts gällande i detta avseende. Jag ber att få fråga, varpå utskottet grundar denna sin uppfattning. Har utskottet på ett mera ingående sätt än löneregleringskommittén försökt bilda sig sin uppfattning, och ha mera initierade krafter stått till utskottets förfogande vid bedömandet av denna sak? Jag tror, att man på denna fråga kan svara nej. Det går naturligtvis inte an, att i ett dylikt fall enskilda utskottsledamöter resonera med intresserade tjänstemän och därigenom försöka skapa sig en uppfattning och enbart därpå bygga sitt votum. Jag vågar således göra gällande, herr talman, att om man på denna punkt vill bedöma saken rättvist och riktigt och om man vill tillgodogöra sig det nya systemets egenskaper, skall man här icke följa bankoutskottet utan löneregleringskommittén.</w:t>
        <w:br/>
        <w:br/>
        <w:t>Jag kommer nu över till nästa punkt, i vilken vissa avvikelser skett. Det gäller endast en befattningshavare, en sekreterare. Denne sekreterare har av löneregleringskommittén placerats i 16 :de lönegraden. Utskottet har för sin del sagt, att emot den placeringen har utskottet ingenting att erinra. Själva tjänsten förefaller det mig alltså, som om man jämväl efter utskottets mening i kommittén hade värdesatt riktigt. Men nu föreslår utskottet, att den nuvarande innehavaren skall få avlöning i enlighet med 17 lönegraden. Vad skulle skälet vara till detta? Jo, man säger, att det är en befattningshavare, som länge innehaft sin befattning. Ja, så länge kan det icke vara, då befattningen skapades i</w:t>
        <w:br/>
        <w:br/>
        <w:t>sitt nuvarande skick år 1917. Hur skulle det förresten bli, om man Löneregleförst skulle värdesätta befattningarna över hela linjen och föra dem till das vid en viss lönegrupp, motsvarande en viss löneställning, men sedan säga: (Forts) re denne befattningshavare skola vi i alla fall låta erhålla lön efter en</w:t>
        <w:br/>
        <w:br/>
        <w:t>annan lönegrupp? Det skulle urarta till det rena kaos och naturligtvis</w:t>
        <w:br/>
        <w:br/>
        <w:t>en rent subjektiv värdering av lönesättningen. Till denna punkt, som</w:t>
        <w:br/>
        <w:br/>
        <w:t>jag senare under b) i klämmen kommer att framlägga särskilt yrkande</w:t>
        <w:br/>
        <w:br/>
        <w:t>om, skall jag be att få återkomma.</w:t>
        <w:br/>
        <w:br/>
        <w:t>Vidare har utskottet skilt sig från löneregleringskommittén beträffande ett par bankokommissarier, som löneregleringskommittén ansett sig böra skilja från övriga grupper och placera i 18:de lönegruppen, under det utskottet placerat dem i 20:de. På denna punkt rådde, det medger jag, stor tveksamhet inom kommittén, och det kan anföras skäl både för det ena och det andra förfaringssättet. Jag skall emellertid på denna punkt, särskilt med hänsyn till nödvändigheten av att koncentrera sig, icke driva kommitténs mening, fastän jag tror, att man för dess förslag kan anföra fullgoda skäl.</w:t>
        <w:br/>
        <w:br/>
        <w:t xml:space="preserve">Så har utskottet uppfört ett större antal </w:t>
      </w:r>
      <w:r>
        <w:rPr>
          <w:b/>
        </w:rPr>
        <w:t>kvinnliga¹</w:t>
      </w:r>
      <w:r>
        <w:rPr>
          <w:b w:val="0"/>
        </w:rPr>
        <w:t xml:space="preserve"> biträden på ordinarie stat än kommittén för sin del medtagit. Kommittén uppförde för riksbankens vidkommande 10 nya </w:t>
      </w:r>
      <w:r>
        <w:rPr>
          <w:b/>
        </w:rPr>
        <w:t>kvinnliga¹</w:t>
      </w:r>
      <w:r>
        <w:rPr>
          <w:b w:val="0"/>
        </w:rPr>
        <w:t xml:space="preserve"> ordinarie befattningar, utskottet lägger i detta avseende till ytterligare 5 nya. För riksgäldskontoret hade kommittén föreslagit 6 och utskottet lägger till ytterligare 3. Ja, man kan naturligtvis säga, att jämväl det kvarstående antalet extra är tillräckligt stort för att motivera en dylik uppflyttning, och det är en sak, som man kan hysa både den ena och den andra uppfattningen om. Jag skall emellertid icke heller i denna punkt göra annat yrkande än det, som utskottet nu slutligen stannat vid. Jag tror emellertid, att om man här förfore med samma betänksamhet som i andra fall på detta område, hade även på denna punkt kommitténs förslag bort förefalla välgrundat. Men så kommer utskottet och säger, att dessa böra betecknas såsom kontorsbiträden. Det är, såvitt jag förstår, ett fullkomligt misstag. Det kan inte vara fråga om annat än skrivbiträden och jag hör också, att man från utskottets sida i andra kammaren försökt rätta till saken och framställt förslag om rättelse, fastän andra kammaren icke följt utskottet i övrigt utan anslutit sig till löneregleringskommittén i de väsentliga punkterna av denna fråga.</w:t>
        <w:br/>
        <w:br/>
        <w:t>Jag kommer slutligen till en annan sak, som icke är så betydelsefull, men om vilken jag måste säga ett par tre ord. Det är så, att löneregleringskommittén ansåg, att fullmakterna i riksbanken borde utbytas mot konstitutorial. Utskottet säger nu, att det vill icke utskottet vara med om, utan föreslår, att man alltjämt skall bibehålla fullmakterna för dessa befattninghavare. Det förhåller sig med den saken så, att man vill behålla en form, ett namn, ty det sakliga innehållet i den handling, som man betecknar som fullmakt, motsvaras icke av verkliga förhållandet. En fullmakt är ju beträffande tjänstemän en handling, som innebär, att tjänstemannen icke kan skiljas från sin tjänst utan dom och rann-</w:t>
        <w:br/>
        <w:br/>
        <w:t>sakning, under det konstitutorial ju är en handling, enligt vilken en</w:t>
        <w:br/>
        <w:br/>
        <w:t>ring vid viks-tjänsteman på administrativ väg kan skiljas från sin befattning, Nu är</w:t>
        <w:br/>
        <w:br/>
        <w:t>det så, att för tjänstemännen i riksbanken gälla särbestämmelser, som gå längre än konstitutorial i allmänhet gå, en bestämmelse som säger, att tjänsteman i riksbanken kan ”på grund av fel eller försummelse i tjänsten eller ovärdigt uppträdande i det allmänna levernet av fullmäktige skiljas från tjänsten”. Det går således där lättare att skilja en tjänsteman från tjänsten, än fallet brukar vara, då det gäller tjänstemän, försedda med konstitutorial. Men oaktat detta vill utskottet vidhålla beteckningen fullmakt, fastän dessa tjänstemäns ställning icke är de befullmäktigades utan de med konstitutorial förseddas. Jag skall icke driva min mening på den punkten eller göra något yrkande, utan har endast velat visa, att utskottet i detta fall icke haft något verkligt skäl för sitt ståndpunktstagande.</w:t>
        <w:br/>
        <w:br/>
        <w:t>Ifråga om ett litet personligt tillägg har man också avvikit från kommittén. Det gäller en funktionär, som tidigare haft sig tillerkänt ett personligt lönetillägg. Han får nu genom löneregleringen en ökning i lönen från 2,050 till 3,060 kr. Det personliga tillägget är 100 kr. Nu är det ju så, att när man lönereglerar och ökar lönen, brukar det personliga lönetillägget bortfalla, och så förfor kommittén också. Men utskottet avviker, såvitt jag förstår, utan något verkligt skäl, därifrån. Jag skall inte tvista om saken, men vill bara säga, att förfaringssättet skiljer sig från vad som i allmänhet användes, och vad som kommer att inträffa, om man följer utskottet, är endast, att man sedan kommer att åberopa slikt förfaringssätt i en mängd andra fall, vilket kommer att vålla skriverier och svårigheter.</w:t>
        <w:br/>
        <w:br/>
        <w:t>Ifråga slutligen om pensionsåldern har man också avvikit, och det är den sista punkt jag skall yttra mig om. Det återstår visserligen andra smärre punkter, men dem skall jag icke ingå på. Vad pensionsåldern beträffar föreslår löneregleringskommittén, att man skall som pensionsgräns sätta 67 år, en gräns som i allmänhet gäller inom de centrala verken. Men utskottet föreslår en pensionsålder av 65 år. Jag måste fråga mig: finns det i detta avseende någon anledning att skilja mellan tjänstemännen i riksbanken och riksgäldskontoret å ena sidan och tjänstemännen i de centrala verken i allmänhet å den andra? Om det är så, att chefen i ett verk, av vilken det kräves, att han är vid full vigör och kan taga initiativ i olika avseenden och tillbörligen leda sitt verk, kan sitta kvar till 67 år, varför skall då en befattningshavare i riksbanken ha en pensionsålder av 65 år? Jag har den uppfattningen, att vad som kräves — och kräves i mycket stor utsträckning — av befattningshavare i riksbanken — vid högre ålder är noggrannhet och pålitlighet. Dessa äro de där särskilt erforderliga egenskaperna, och det är ju egenskaper, som man brukar återfinna särskilt hos äldre befattningshavare. Men den rörlighet och initiativförmåga, som man å andra håll måste kräva av befattninghavare, som få sitta kvar till 67 år, exempelvis vid chefsposter, tror jag icke äro så erforderliga för befattnings-</w:t>
        <w:br/>
        <w:br/>
        <w:t>havare i riksbanken. Det vore lätt att på denna punkt åstadkomma än- Löneregledring — det ginge genom att endast ändra några siffror, men då man ac vid rikså : z : : äs 6 äs agens verk. icke gjort det i andra kammaren, skall jag icke här yrka på någon än- — (Forts.) dring. Jag vill dock göra gällande, att sakskälen för utskottets förslag i den punkten äro ytterst svaga, om ens några.</w:t>
        <w:br/>
        <w:br/>
        <w:t>Såsom resultat av vad jag nu anfört vill jag således instämma i det yrkande beträffande tjänstefördelningen, som framlades av herr Vindahl, men jag vill dessutom beträffande det under punkt b) i klämmen fogade förslaget till särskilda bestämmelser yrka, att det under I: 4 gjorda undantaget för andre bankosekreteraren Törnebladh måtte utgå, och att i sammanhang därmed också strykes motiveringen för denna särskilda bestämmelse, vilken motivering återfinnes å sid. 4 och 5. Därmed kommer, såvitt jag förstår, beslutet i denna punkt att sammanfalla med det beslut, som andra kammaren har fattat, om man därtill lägger, att d2 nyuppförda, av utskottet så kallade kontorsbiträdena bli betecknade såsom skrivbiträden.</w:t>
        <w:br/>
        <w:br/>
        <w:t>Jag anhåller således, herr vice talman, att få yrka bifall till vad jag här nu anfört i nyss berörda punkter.</w:t>
      </w:r>
    </w:p>
    <w:p>
      <w:pPr>
        <w:pStyle w:val="Heading2"/>
      </w:pPr>
      <w:r>
        <w:t>2. Ernst Wigforss (Socialdemokraterna, man)</w:t>
      </w:r>
    </w:p>
    <w:p>
      <w:r>
        <w:rPr>
          <w:b w:val="0"/>
        </w:rPr>
        <w:t xml:space="preserve">Herr talman, mina herrar! Jag antar, att kammaren har en lika stark känsla som jag av hur farligt det är att ge sig in i en debatt om löneregleringar med herr Ekman, och detta icke blott därför att herr Ekman kan lägga in i meningsbytet sin oerhörda auktoritet såsom medlem av löneregleringskommittén, utan också därför att han förfogar över en så oerhörd säkerhet på, att löneregleringskommittén lyckats placera in varje människa just i </w:t>
      </w:r>
      <w:r>
        <w:rPr>
          <w:b/>
        </w:rPr>
        <w:t>hennes²</w:t>
      </w:r>
      <w:r>
        <w:rPr>
          <w:b w:val="0"/>
        </w:rPr>
        <w:t xml:space="preserve"> riktiga fack. Jag kan för min del icke vara säker därpå, och jag tror icke heller, att bankoutskottet, då det försökt göra vissa ändringar, varit lika säker på att man träffat just det rätta som herr Ekman. Men herr Ekman kan vara säker på, att bankoutskottet, när det gjorde dessa förändringar, gjorde dem i en mycket stark känsla av, att det skulle få kämpa en mycket hård strid för att få igenom dem, och jag får säga, att min personliga ställning var också densamma. Jag hyser nästan oblandad beundran för löneregleringskommitténs förmåga att även när det gäller ett relativt litet antal befattningshavare, såsom i riksbanken, lyckas fylla ut nästan vartenda ett av dessa 20 hål med ett visst antal av tjänstemän. Det är ju ett av de starka argument, som herr Ekman använt, att när man har både 13:de och 14:de lönegraderna, varför skall man då i all världen icke begagna sig av dem, och det har löneregleringskommittén gjort på ett så utmärkt matematiskt sätt, att de 50 tjänstemän det gäller ha klippts mitt itu i förhållande till sin olika utbildning, tjänstgöring m. m., så att 25 av dem kommit i 13:de lönegraden och 25 i 14:de lönegraden. Det ser ut som något slags matematisk rättvisa, men man kan ha anledning att misstänka, att den icke motsvarar den verkliga rättvisan. Detta har givit bankoutskottet anledning att se efter, om det funnits några reala skäl för löneregleringskommitténs förslag i den punkten, och man har icke blott velat rätta sig efter kommitténs — det</w:t>
        <w:br/>
        <w:br/>
        <w:t>erkänner jag öppet — stora, på erfarenhet grundade auktoritet. Trots det att herr Ekman betvivlat, att bankoutskottet gjort några försök att få fram realskäl, så ha vi verkligen gjort det. Jag skall tala om bara de två skäl, som bestämt mig och som jag tror även bestämt andra inom utskottet. Vi ta ett sådant fall som det med ett antal kassörer i riksbanken, av vilka hälften sitta i växlingskassan och hälften i huvudkassan. Nu ha alla sakkunniga, som vi frågat och som känna till bankkassörsgöromål och riksbankskassörernas göromål, förklarat, att det minst eftersträvansvärda, det obehagligaste och riskablaste är att sitta vid växlingskassan, under det det mera eftersträvansvärda är att sitta däruppe. Men löneregleringskommittén föreslår, att just de, som ha de största riskerna, skola placeras i 13:de lönegraden, under det att de, som sitta på mera angenäma och eftersträvansvärda poster, skola få komma i 14:de. När flera av bankoutskottets ledamöter, som ha erfarenhet, kunnat bestyrka detta, gingo vi vidare och vände oss till dem, som närmast ha ansvaret för, hur dessa olika grader skola placeras, alltså till avdelningscheferna i riksbanken, till bankokommissarierna, och fingo från dem ett uttalande, som jag här kan läsa upp några rader av. De säga där: ”Vi tillåta oss uttala såsom vår bestämda övertygelse, att en dylik uppdelning” (av riksbankens 2:a grad) ”ej kan vara till riksbankens gagn. En inbördes gradering av tjänsterna i dessa grader är enligt vår mening så svår att rättvist genomföra, att den alltid måste förefalla godtycklig och byggd på en subjektiv värdesättning, varför den även måste leda till ständig missbelåtenhet.” Jag tror, att det är den verkliga praktiska erfarenheten, som här talar, och icke den matematiska rättvisa, som placerar 25 tjänstemän i den ena och 25 i den andra lönegruppen. Och härom rör sig hela striden, ty man får lägga märke till, att lönereglerarna förneka icke, att uppdelningen av dessa tjäntemän i 13:de och 14:de lönegrupperna faktiskt innebär en sänkning av de gamla 2 :a-gradstjänstemännens ställning. Detta erkännes och därom rör sig icke striden, utan frågan är bara, om det finns tillräcklig anledning att flytta ner jämnt hälften av dessa i 13:de lönegraden, i stället för att placera dem i 14:de, dit de enligt löneregleringskommittén skulle höra, om man följde den gamla ordningen. Löneregleringskommittén tycker, att det skall vara så som den föreslagit, men bankoutskottet har försökt skaffa in upplysningar och funnit, att det icke är tillräckliga skäl att frångå den gamla placeringen, och därför kommit till den slutsatsen, att man icke behövt skilja på dessa befattningshavare, då det icke finns direkt anledning därtill. Detta har jag velat säga och jag tror, att alla praktiska skäl tala för att gå på bankoutskottets linje. Jag tror därför, att kammaren, trots det att andra kammaren med någon majoritet gått för lönereglerings-</w:t>
        <w:br/>
        <w:br/>
        <w:t>. kommitténs förslag, gör rätt i att i detta fall ge tjänstemännen den, jag</w:t>
        <w:br/>
        <w:br/>
        <w:t>vill gärna säga, rättvisan att icke skilja på dem, som tidigare icke varit skilda, isynnerhet som detta i ekonomiskt avseende praktiskt taget icke betyder något.</w:t>
        <w:br/>
        <w:br/>
        <w:t>Jag yrkar alltså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