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427</w:t>
      </w:r>
    </w:p>
    <w:p>
      <w:r>
        <w:rPr>
          <w:b/>
        </w:rPr>
        <w:t xml:space="preserve">Datum: </w:t>
      </w:r>
      <w:r>
        <w:t>1922-03-20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Herr greve och talman! Jag har begärt ordet för att yrka bifall till Kungl. Maj:ts proposition.</w:t>
        <w:br/>
        <w:br/>
        <w:t xml:space="preserve">Jag förstår mycket väl, att vi nu behöva spara och spara på alla håll och kanter, men jag måste å andra sidan säga, att detta icke borde få gälla, när denna sparsamhet skall gå ut över en kår av </w:t>
      </w:r>
      <w:r>
        <w:rPr>
          <w:b/>
        </w:rPr>
        <w:t>kvinnor¹</w:t>
      </w:r>
      <w:r>
        <w:rPr>
          <w:b w:val="0"/>
        </w:rPr>
        <w:t>, som ha ett så maktpåliggande och slitsamt arbete, på samma gång som de på många håll verkligen leva under ytterst svåra ekonomiska förhållanden. Det har visserligen sagts här, att deras löner nu hava reglerats och att det har blivit bättre för dem. Ja, det är sant, det har blivit bättre, men från vad har det blivit bättre? Jo, ifrån en oerhört dålig ställning!</w:t>
        <w:br/>
        <w:br/>
        <w:t xml:space="preserve">Det har också påpekats här, att de kunna räkna med de extra inkomster, som de enligt av kommunerna fastställd taxa ha rätt att taga ut av sina patienter. Men dessa taxor, som i sig själva äro mycket små, kunna de f. n. räkna på i mycket mindre grad än förut. Redan under normala förhållanden ha de haft ytterst svårt att få ut dessa av sin fattigare klientel. I Skåne är det kanske lättare, men om vi tänka på förhållandena uppe i de fattiga Norrlandsdistrikten och även i Värmland och i Småland, visar det sig, att det är sällan som barnmorskorna verkligen kunnat få ut denna extra inkomst. Under den förfärliga depressionstid vi nu leva i och under rådande arbetslöshet, blir det naturligtvis ännu svårare för dem att få ut sina taxor. Vad hava de sålunda att leva av? Jo, de hava sin ordinarie inkomst, som i bästa fall med dyrtidstillägget kan gå upp till 1,500 kronor jämte möjligen någon liten extra inkomst. Nu är det att märka, att dessa människor hava icke rättighet att skaffa sig extra inkomster på annat sätt än genom utövande av sitt yrke. Det står nämligen i deras stadga föreskrivet, att de icke få använda sina händer till något grovarbete. Detta betyder även att de icke ens alltid kunna sköta de grovsysslor, som höra till deras eget hem, att de icke alltid kunna få tvätta sina kläder själva eller skura sina golv, utan att de måste hava extra hjälp därför. Dessa 50 kronor, som säkerligen förefalla många av herrarna här som ingenting, betyda kanske just den lön en </w:t>
      </w:r>
      <w:r>
        <w:rPr>
          <w:b/>
        </w:rPr>
        <w:t>barnmorska³</w:t>
      </w:r>
      <w:r>
        <w:rPr>
          <w:b w:val="0"/>
        </w:rPr>
        <w:t xml:space="preserve"> måste betala för att erhålla den extrahjälp, som </w:t>
      </w:r>
      <w:r>
        <w:rPr>
          <w:b/>
        </w:rPr>
        <w:t>hon²</w:t>
      </w:r>
      <w:r>
        <w:rPr>
          <w:b w:val="0"/>
        </w:rPr>
        <w:t xml:space="preserve"> behöver för att kunna skona sina händer och sköta sitt yrke så som </w:t>
      </w:r>
      <w:r>
        <w:rPr>
          <w:b/>
        </w:rPr>
        <w:t>hon²</w:t>
      </w:r>
      <w:r>
        <w:rPr>
          <w:b w:val="0"/>
        </w:rPr>
        <w:t xml:space="preserve"> är skyldig att göra. </w:t>
      </w:r>
      <w:r>
        <w:rPr>
          <w:b/>
        </w:rPr>
        <w:t>Hennes²</w:t>
      </w:r>
      <w:r>
        <w:rPr>
          <w:b w:val="0"/>
        </w:rPr>
        <w:t xml:space="preserve"> yrke är ju också i hög grad beroende av om </w:t>
      </w:r>
      <w:r>
        <w:rPr>
          <w:b/>
        </w:rPr>
        <w:t>hon²</w:t>
      </w:r>
      <w:r>
        <w:rPr>
          <w:b w:val="0"/>
        </w:rPr>
        <w:t xml:space="preserve"> är renlig och noggrann i skötseln såväl av sig själv som av sina patienter, härpå hänger framgången av </w:t>
      </w:r>
      <w:r>
        <w:rPr>
          <w:b/>
        </w:rPr>
        <w:t>hennes²</w:t>
      </w:r>
      <w:r>
        <w:rPr>
          <w:b w:val="0"/>
        </w:rPr>
        <w:t xml:space="preserve"> arbete och renlighet kostar pengar. Det torde med fog kunna sägas att vi åtminstone till en viss grad ha denna strävsamma kår att tacka för det faktum, att barnsängsfeber och småbarnisdödligheten har sjunkit så betydligt som den gjort i vårt land, och då tycker jag, att det är bra hårt, att man nu vid en tidpunkt, då deras ekonomiska förhållanden säkerligen i alla fall bli sämre, skulle hjälpa till att göra den ännu sämre genom detta avdrag.</w:t>
        <w:br/>
        <w:br/>
        <w:t>Herr greve och talman! Jag ber att på det allvarligaste få yrka bifall till Kungl. Maj:ts proposition.</w:t>
      </w:r>
    </w:p>
    <w:p>
      <w:pPr>
        <w:pStyle w:val="Heading2"/>
      </w:pPr>
      <w:r>
        <w:t>2. Karl Ekman (Första kammarens nationella parti, man)</w:t>
      </w:r>
    </w:p>
    <w:p>
      <w:r>
        <w:rPr>
          <w:b w:val="0"/>
        </w:rPr>
        <w:t>Det är sannerligen, herr talman, icke någon trevlig och lätt uppgift att gent emot anföranden sådana som det sista här försvara utskottets hemställan, men jag tror i varje fall, att man kan säga, att utskottets förslag vilar på goda och sakliga grunder.</w:t>
        <w:br/>
        <w:br/>
        <w:t>Då jag hörde herr von Koch för en stund sedan säga, att sparsamheten är en dygd, men att det kan sparas på orätt plats och sparas så, att man egentligen skadar sig själv — snålheten kan bedraga visheten — så påminde jag mig särskilt vad som förekom vid en riksdag för ett par år sedan. Jag gav då särskilt akt på en tidning, som med särskild kraft yttrade sig i varje fråga, där inom statsutskottet eller riksdagen förelåg olika meningar beträffande anslag. Denna tidning förordade vid varje sådant tillfälle det högre anslagsbeloppet. Men samma dag som riksdagen åtskildes och det gällde att sammanfatta sin mening om det sätt varpå riksdagen fyllt sin uppgift, så förklarade tidningen i fråga, att riksdagen alldeles särskilt brustit däri, att den visat sig icke beakta nödvändigheten av sparsamhet i statsförvaltningen. Det är nog så, att var och en tycker, då han kommer till det område, som alldeles speciellt intresserar honom, att den av statsutskottet anbragta sparsamheten är missriktad och malplacerad. Men jag tror, att det är nödvändigt att följa ungefär samma principer över hela linjen, även om ur den enskildes synpunkt det ena fallet kan se mer behjärtansvärt ut än det andra.</w:t>
        <w:br/>
        <w:br/>
        <w:t xml:space="preserve">Nu förhåller det sig så med ifrågavarande befattningshavare, att de under kristiden erhållit sina löner reglerade och reglerade på ett sådant sätt, att förbättringen i deras löneställning blivit procentuellt större än på något annat motsvarande område. Det lönebelopp, som man för dem tidigare räknat med, har väl, kan man säga, genom löneregleringen under kristiden ungefär tredubblats. Därpå har sedermera, med hänsyn till dyrtiden, lagts ett särskilt dyrtidstillägg, men i stället för att såsom ' andra dyrtidstillägg följa priskurvan har detta givits i form av ett visst fixt anslag. När det sålunda här är fråga om ett dyrtidsanslag, som har denna fixa karaktär, och då nu i övrigt alla statens befattningshavare, jämväl alla </w:t>
      </w:r>
      <w:r>
        <w:rPr>
          <w:b/>
        </w:rPr>
        <w:t>kvinnliga¹</w:t>
      </w:r>
      <w:r>
        <w:rPr>
          <w:b w:val="0"/>
        </w:rPr>
        <w:t xml:space="preserve"> befattningshavare, få å den del av deras lön, som utgår i form av dyrtidstillägg, vidkännas minskning — och detta gäller jämväl i en hel del fall befattningshavare, som stå kvar på den löneställning som de hade före 1914 — då hemställer jag, huruvida det verkligen kan sakligt försvaras, att man här skulle låta en befattningshavaregrupp stå kvar i orubbat läge med sitt dyrtidstillägg, trots att denna grupp under kristiden fått sin grundlön reglerad på det sätt, som faktiskt skett. Åtminstone har icke statsutskottet, som har skyldighet att taga hänsyn till att det följes ungefär likartade principer över hela linjen och att söka skipa rättvisa mellan olika befattningshavare, sett sig i stånd att förfara på i det ena fallet det sättet och i det andra fallet på ett helt motsatt sätt.</w:t>
        <w:br/>
        <w:br/>
        <w:t>Jag måste dessutom säga, att det är uppenbart, att med den prissänkning i levnadskostnaderna, som nu ägt rum, dessa befattningshavare i fortsättningen komma att med hänsyn till sin totalinkomst, även därest</w:t>
        <w:br/>
        <w:br/>
        <w:t>utskottets förslag bifalles, stå i ett bättre läge än de gjort tidigare under kristiden, då de varit hänvisade till samma löneinkomster och ungefär samma dyrtidstillägg som de nu skulle få uppbära.</w:t>
        <w:br/>
        <w:br/>
        <w:t>På grund av vad jag sålunda anfört tillåter jag mig att hemställa om godkännande av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