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432</w:t>
      </w:r>
    </w:p>
    <w:p>
      <w:r>
        <w:rPr>
          <w:b/>
        </w:rPr>
        <w:t xml:space="preserve">Datum: </w:t>
      </w:r>
      <w:r>
        <w:t>1922-04-07</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Erik August Enhörning (Första kammarens nationella parti, man)</w:t>
      </w:r>
    </w:p>
    <w:p>
      <w:r>
        <w:rPr>
          <w:b w:val="0"/>
        </w:rPr>
        <w:t>Herr greve och talman! Det var visserligen icke med någon förvåning som jag tog del av den föreliggande motionen, ty den hade ju redan 1910 varit framme och även senare. år, men min förvåning blev så mycket större, då jag fick taga del av utskottets utlåtande. Såväl motionen som utskottets utlåtande gå i samma riktning: fullständig avsaknad av påtagliga praktiska skäl till stöd för det gjorda yrkandet. Anledningen till denna brist ligger dock nära till hands — inga som helst praktiska omständigheter tala till förmån för den förordade ändringen. Både motionären och andra kammarens utskott, till vilket första kammarens utskott nu anslutit sig, ha därför dels måst tillgripa framhållandet att biskops och konsistoriums överinseende över de allmänna läroverken och statens folkskoleseminarier äro oförenliga med vår tids uppfattning av undervisningens ställning och dels sökt framkonstruera vissa i realiteten obefintliga praktiska olägenheter av nuvarande anordning. Att denna anordning icke medför några olägenheter framgår med all önskvärd tydlighet av vad läroverksöverstyrelsen — den myndighet som utan gensago har de största möjligheterna att bedöma förevarande spörsmål — anfört i sitt yttrande i frågan 1918. Den uttalar, att erfarenheten av det sätt varpå eforusinstitutionen i verkligheten fungerar icke går i den riktning att de påyrkade förändringarna skulle innebära en vinst för läroverken utan en förlust. Efter ett sådant uttalande förefaller det minst sagt egendomligt, att man söker göra gällande motsatsen. Men ändamålet får här som i så många andra fall helga medlen. Och ändamålet det är att få bort varje anstrykning av ett kyrkligt inflytande på undervisningens område. Att här diskutera de principiella sidorna av saken skulle föra allt för långt och säkerligen icke leda till något resultat, varför jag bortser från dessa och endast framställer frågan: Är det riktigt och försvarligt att låta ett ensidigt principrytteri giva anledning till ändringar, vars konsekvenser icke kunna överblickas? För egen del måste jag svara absolut nej, och jag hoppas flertalet av kammarens ledamöter äro ense med mig däri, att man icke får låta teorierna bortskymma realiteterna. Alla institutioner, huru väl de än fungera, skola bort, och enda motivet</w:t>
        <w:br/>
        <w:br/>
        <w:t xml:space="preserve">är: oförenligt med vår tids uppfattning. Mot andra kammarens första Om avskaftillfälliga utskott har avgivits en längre reservation av herrar Wallerius, öarna Björkman, Gardell och </w:t>
      </w:r>
      <w:r>
        <w:rPr>
          <w:b/>
        </w:rPr>
        <w:t>fröken²</w:t>
      </w:r>
      <w:r>
        <w:rPr>
          <w:b w:val="0"/>
        </w:rPr>
        <w:t xml:space="preserve"> Wellin, som är väl motiverad. Reserpcforat över vanterna yttra bland annat på sidan 7 i utskottets utlåtande: ”Motiovissa undernärerna synas emellertid i själva verket mindre ledas av hänsyn till lärovisningsanverkens behov, sådana dessa i levande livet te sig, än av vissa teoretiskt vitae mm en principiella hänsyn.” Vidare anföra de vad överstyrelsen i denna sak | har yttrat, och då även detta har relaterats av en föregående ärad talare,</w:t>
        <w:br/>
        <w:br/>
        <w:t>skall jag för min del icke uppta kammarens tid därmed, men jag vill</w:t>
        <w:br/>
        <w:br/>
        <w:t>dock säga, att ett dylikt av den verkliga sakkunskapen fällt omdöme</w:t>
        <w:br/>
        <w:br/>
        <w:t>är för min del av avgörande betydelse, och jag får därför, herr greve</w:t>
        <w:br/>
        <w:br/>
        <w:t>och talman, yrka bifall till den vid föreliggande utskottsutlåtande fogade reservationen.</w:t>
      </w:r>
    </w:p>
    <w:p>
      <w:pPr>
        <w:pStyle w:val="Heading2"/>
      </w:pPr>
      <w:r>
        <w:t>2. Ivan Pauli (Socialdemokraterna, man)</w:t>
      </w:r>
    </w:p>
    <w:p>
      <w:r>
        <w:rPr>
          <w:b w:val="0"/>
        </w:rPr>
        <w:t>Herr talman, mina herrar! När denna fråga varit före i riksdagen, och det har den varit många gånger, såsom vi veta, har det brukat sägas av de uppträdande talarna, att de bådo om ursäkt för att de uppträdde i en sådan liten och obetydlig fråga. Och jag medgiver, att om man såsom de två sista föregående talarna anlägger den praktiska synpunkten, så kan saken te sig ganska obetydlig, men om denna fråga verkligen är så liten och obetydlig, så frågar man sig: Varifrån kommer då det stora intresse, varmed den omfattas? Huru kommer det sig, att debatten om denna fråga ofta blir ganska långvarig? Hur kommer det sig, att den gamla första kammaren har utvecklat en sådan oerhörd ståndaktighet och envishet för att avslå denna obetydliga ändring? Jo, alltsammans beror på en sak, som den föregående talaren icke ansåg sig vilja beröra, nämligen frågans principiella innebörd, och jag anser att man först och främst måste taga ståndpunkt till denna principfråga. Eforatet är en symbol för kyrkans myndighet över skolväsendet. Det är ett svagt återsken från den tid, då skolan icke existerade annat än för kyrkans skull. Har man först tagit ståndpunkt till den frågan: Skall skolan stå på självständig grund eller stå under överinseende av kyrkan? och anser man, att den förra frågan bör besvaras med ja, då bör man sedan också fråga sig, om det finnes några praktiska hinder för att förverkliga denna princip. Men att alldeles bortse från principfrågan, som herr Enhörning ansåg att man borde göra och som han även gjorde, det är ju att blunda på båda ögonen för det, som är den verkliga innebörden i denna sak. För min del kan jag icke annat än anse, att vi nu kommit fram till ett tydligt avgränsat verksamhetsområde för såväl kyrkan som skolan och att kyrkans överinseende över skolan även rent formellt sett bör tagas bort. Jag vill härmed icke förneka, att detta överinseende en gång varit berättigat, och jag vill icke alls förneka, att kyrkans män i gångna tider ha gjort stora och värdefulla insatser för skolan. Skolan växte ju en gång fram ur kyrkan. Den hade då endast till uppgift att utbilda präster. Den var en förbildningsanstalt till universitetet, som icke var annat än ett prästseminarium. Det är typiskt, att den skolordning, som utfärdades i början av 1600-talet,</w:t>
        <w:br/>
        <w:br/>
        <w:t>utfärdades av prästerskapet och icke av Kungl. Maj:t. Prästerskapet ansåg sig icke behöva kunglig sanktion för att utfärda en skolordning, det ansågs på den tiden som en prästerskapets privata angelägenhet. En ärad talare i andra kammaren anförde i debatten i detta ämne den gamle Johannes Rudbeckius som exempel på vad en kyrkans man gjort för skolan, och han menade, att det skulle vittna om bristande pietet mot den fosterländska kulturen och ett av våra stora kulturella minnen, om eforatets avskaffande till tiden sammanfölle med firandet av 300- ärsminnet av Johannes Rudbeckius” gymnasium i Västerås, det första svenska gymnasiet. Jag tillåter mig vara av en alldeles motsatt uppfattning, ty genom att avskaffa eforatet fortgå vi i själva verket på den linje, som Johannes Rudbeckius själv beträdde på den tiden. Han var nämligen en av de första, som med kraft hävdade, att skolan icke borde vara endast en prästerlig utbildningsanstalt utan även duga till att utbilda folk för andra livsuppgifter, att utbilda vetenskapsmän och statsmän. Därför undervisades vid gymnasiet i Västerås icke blott i teologi, latin och grekiska, utan även i naturvetenskap, etik, historia och politik. Och eftersom vi äro inne på de fosterländska minnena — jag förutser, att längre fram i debatten komma dessa fosterländska minnen ändå på tal — skall jag tillåta mig att framhålla, att en av våra statsmän, som den svenska högern och den svenska kyrkan icke sätta minst högt, nämligen konung Gustav II Adolf, såvitt jag vet var den förste, som tog ett steg mot sekulariseringen av läroverken. Han tänkte sig visserligen icke någon överstyrelse, men han tänkte sig i alla fall en lekman, en politikus, som han kallade honom, såsom generalinspektör över alla rikets läroverk. Detta förslag blev det ingenting av, men man märker i alla fall avsikten. Reservanterna ha anfört den paragraf i vår kyrkolag, som innehåller den så att säga klassiska bestämmelsen om biskoparnas makt över skolan, och jag vill erinra om, att där bland annat står, att de ”skola ock se på lektorer och skolmästare, med vad flit, åhåga och nytta de sina ämbeten förrätta, avskaffa dem, som äro därtill oskicklige och försumlige, och inga andra därtill befordra, än dem de förvisso känna och veta vara ungdomen nyttige”. Vi veta ju mycket väl, mina herrar, att denna paragraf liksom så mycket annat i vår kyrkolag är satt ur gällande kraft genom senare tiders bestämmelser. Vi veta, att det fortfarande är en biskops obestridliga rätt att ”se på” herrar lektorer och skolmästare, och man kan icke fråntaga dem denna rätt, men de hava icke längre någon rätt vare sig att: avskeda eller befordra dem. Det är så, som Överstyrelsen träffande säger i dess här ofta åberopade inlaga, att eforatet har genomgått en avvittringsprocess. Jag vill naturligtvis icke gå in på några närmare detaljer angående denna process, men det sista stora momentet i avvittringen skedde, som vi veta, 1904, då undervisningsväsendet centraliserades hos överstyrelsen och allt väsentligt av eforatets befogenheter överflyttades dit.</w:t>
        <w:br/>
        <w:br/>
        <w:t>När det nyss har sagts av den ärade talare, som förde reservanternas talan, att man den gången icke gjorde något principuttalande om denna åtgärds innebörd, ber jag få erinra om att överstyrelsen själv påpekat,</w:t>
        <w:br/>
        <w:br/>
        <w:t>att den dåvarande ecklesiastikministern i andra kammaren uttryckligen Om avskafförklarade denna åtgärd vara ett otvetydigt steg mot en sekularisering krass av läroverken. Att man sedan icke direkt sade, att nu skola vi först cforat över taga detta steg, och sedan skola vi givetvis även avskaffa det återståvissa underende av biskops och konsistoriums makt och myndighet, det är alldeles visningsannaturligt. Varför man höll inne den gången och icke tog steget fullt Stene ons ut, det berodde naturligtvis delvis på att när man startade ett alldeles | nytt ämbetsverk, man icke på förhand kunde veta, hur det skulle komma att fungera. Man ville naturligtvis avvakta, huru det nya systemet fungerade, innan man beslutade sig för att fullständigt avveckla det gamla. Dessutom berodde denna försiktighet på det starka motståndet mot reformen, som måste mildras, och därför bibehöll man detta sken av en kvarstående myndighet över skolan. Den erfarenhet, som man 1904 icke ansåg sig hava vunnit angående en lekmannaöverstyrelse, äga vi nu i våra dagar, och jag tror icke, att någon i denna kammare — han må vara en aldrig så entusiastisk anhängare av eforusinstitutionen — skulle vilja på allvar sätta i fråga, att vårt undervisningsväsen skulle återvända till förhållandena före 1904. Då vi nu alltså vunnit denna erfarenhet och icke längre behöva hysa den tvekan, som man då hyste, kunna vi också anse tiden vara mogen för att taga steget fullt ut och fullfölja denna utveckling. Det har redan påpekats, vad det är för saker, som åligga eforus, och alla måste väl erkänna, att det till största delen är rena bagateller, t. ex. att efter rektors förslag bestämma dag för termins början och slut, att efter rektors förslag bestämma tid för läroverkets årsavslutning, förhör och uppvisningar, o. s. v. Är nu detta någonting att hålla på? Rektor bestämmer naturligtvis själv av praktiska grunder allt detta, även om han måste gå och inhämta eforus” yttrande om saken. Så finnes det en del befogenheter, som äro av skenbart större värde, t. ex. övervakandet av kristendomsundervisningen. Men huru förhåller det sig i själva verket med dessa eforus” funktioner? Jo, så att vissa eforer alldeles negligera dem. Jag tror, att det finnes icke så få kristendomslärare vid våra läroverk, som under hela sin tjänstetid icke mottagit ett enda besök av eforus i inspektionssyfte. Det kan naturligtvis finnas undantag, nitiska eforer, men jag tror verkligen, att antalet sådana för närvarande är ganska litet. Jag kan själv intyga, att inspektionen av studentexamen vid det läroverk, vid vilket jag har äran att tjänstgöra, enligt min erfarenhet har inskränkt sig till ett kortvarigt besök av eforus på rektorsexpeditionen ifrågavarande dag och bestått i handskakning med censorer och lärare. Jag tror icke, att någon vågar på allvar bestrida, att dessa obetydliga funktioner utan någon som helst risk kunde överlämnas till skolmyndigheterna. Jag vill naturligtvis icke bestrida, att det kan vara både nyttigt och nödvändigt, att man har en viss lokal myndighet för att handlägga en del ärenden, som icke behöva gå till överstyrelsen. Det faller mig icke in att förneka, att det vid de allmänna läroverken kan behövas inspektorer lika väl som vid de enskilda läroverken. Men varför i all världen skola biskoparna vara självskrivna</w:t>
        <w:br/>
        <w:br/>
        <w:t>såsom inspektorer? Och varför skola de inspektorer, som tillsättas i de städer, där biskopen icke kan vara närvarande, förordnas just av honom? Jag får säga, att i den frågan står mitt förstånd stilla. Jag tror, att överstyrelsen skulle ha lika god hand som biskoparna i fråga om att tillsätta inspektorer, och jag tror också, att dessa inspektorer skulle sköta sig lika bra som herrar biskopar — kanske i många fall bättre.</w:t>
        <w:br/>
        <w:br/>
        <w:t>Jag vågar alltså påstå, att några verkliga praktiska olägenheter av denna princips genomförande icke kunna anföras. När å andra sidan den föregående talaren har försäkrat, att det icke kan sägas vara några praktiska olägenheter förknippade med eforatets kvarstående, skall jag be att få opponera mig. Det har t. ex. berört möjligheten av meningsdifferenser mellan eforus och överstyrelsen, men man har hänvisat till att överstyrelsen har förklarat, att sådana differenser knappast förekommit. Att de ha förekommit, det är säkert, och vem vet, om icke sådana slitningar i framtiden skulle kunna bliva ganska betydande och för läroverken av obehaglig natur. En sak, som är ännu mera känd, är den, att det finnes åtskilliga eforer, som ha visat en i hög grad oriktig uppfattning av eforusinstitutionens innebörd och av vad deras ställning fordrar. Vi behöva icke gå längre tillbaka än till fjolåret för att finna ett sådant fall, då en biskop funnit lämpligt vid en skolavslutning att inför skolans elever göra mycket häftiga politiska uttalanden. och angripa politiska partier, till vilka han själv var motståndare. Ingen kan väl anse, att något sådant kan betraktas som riktigt och taktfullt av eforus handlat.</w:t>
        <w:br/>
        <w:br/>
        <w:t>Slutligen ber jag också få framhålla, att eforus” möjlighet att inverka på tillsättandet av kristendomsläraretjänster i många fall torde vara en ren formalitet, men att den dock innebär möjligheten av ett ensidigt betonande av den kyrkliga bekännelsens betydelse i fråga om sådana läraretjänster. Jag ber alltså få upprepa, att enligt min uppfattning eforusinstitutionen är principiellt oriktig och utan nämnvärt praktiskt gagn, samt att den i vissa fall rentav kan anses vara till direkt skada för skolan.</w:t>
        <w:br/>
        <w:br/>
        <w:t>Eftersom motionären även berört domkapitlen, skall jag be att få uppehålla mig ett ögonblick vid dem. Han har framhållit att domkapitlens befattning med läroverken är ytterst obetydlig, och enligt det betänkande, som domkapitelskommittén avgivit, skulle denna befattning helt och hållet försvinna. Man finge i så fall naturligtvis göra undantag för sådana fall, då rent juridiska skäl, död mans vilja, testamenten, donationsbrev o. d. fortfarande kunna nödvändiggöra domkapitlens befattning med vissa läroverksärenden.</w:t>
        <w:br/>
        <w:br/>
        <w:t>Beträffande domkapitlens tillsyn över seminarierna ställer sig ju saken annorlunda. När folkskoleöverstyrelsen inrättades år 1913, överflyttades visserligen allt väsentligt av domkapitlens befattning med seminarierna till överstyrelsen, men de ha dock en del ärenden kvar att taga befattning med. Enligt domkapitelkommitténs betänkande skulle denna befogenhet kvarstå hos domkapitlen, men icke i deras nuvarande form, utan hos en skolavdelning, vars egentliga uppgift skulle vara att övervaka folkskoleväsendet i stiftet. Denna skolavdelning skulle få annan</w:t>
        <w:br/>
        <w:br/>
        <w:t>sammansättning ; det skulle bli slut med lektorernas saga i domkapitlen. Jag vill icke förneka, att för folkskoleväsendet en sådan lokalstyrelse behöves, tvärtom, men jag vill tillåta mig draga i tvivelsmål, huruvida en dylik lokalstyrelse är nödvändig för seminarierna, när den icke anses nödvändig för läroverken. Man har svarat, att seminarierna utbilda folkskollärare, och därför skulle de stå under denna domkapitlens skolavdelning. Då kunde man lika gärna säga, att eftersom de filosofiska fakulteterna utbilda läroverkslärare, böra de ställas under skolöverstyrelsen. Jag tycker, att denna analogi är ganska riktig.</w:t>
        <w:br/>
        <w:br/>
        <w:t>Ehuru jag alltså menar, att en sådan lokalstyrelse icke behövde vara nödvändig för seminarierna, så kunna vi ju dock lämna den frågan öppen och spörja: om också en sådan lokalstyrelse skall anses nödvändig, varför skall den utgöra en underavdelning av domkapitlen? varför skall biskopen sitta som ordförande? varför kan icke denna lokalstyrelse vara en lekmannastyrelse liksom överstyrelsen för läroverken och seminarierna?</w:t>
        <w:br/>
        <w:br/>
        <w:t>Jag skall ej taga kammarens tid längre i anspråk denna gång. Jag tror mig ha berört de viktigaste synpunkterna i denna fråga. Jag vill endast erinra om, att denna reform av andra kammaren har bifallits fyra gånger, senast för några dagar sedan, med stor majoritet, och jag tycker, att man skulle kunna förvänta, att den nya första kammaren med dess demokratiserade sammansättning skulle kunna anse tiden vara inne att också bifalla reformen. När man debatterar denna och liknande frågor, brukar man gärna mana till pietet och vördnad för traditionen, och i den gamla första kammaren har denna maning aldrig brukat förklinga ohörd. Även jag skall be att få vara traditionstrogen härvidlag och uppmana herrarna att följa en tradition, nämligen den tradition, som givit sig till känna i hela utvecklingen av förhållandet mellan svensk skola och svensk kyrka. Jag tror mig i korthet ha visat, att denna utveckling har gått i riktning mot upphörandet av kyrkans myndighet över skolan, ända tills vi nu ha kvar dessa rent rudimentära rester. Vår skola har lärt sig att stå på egna ben, och om denna kammare, som jag hoppas, om en stund kommer att bifalla den föreliggande motionen, så gör den ingenting annat än beseglar de svenska läroverkens fullmyndighetsförklaring.</w:t>
        <w:br/>
        <w:br/>
        <w:t>Jag ber, herr talman, att få yrka bifall till utskottets hemställan.</w:t>
      </w:r>
    </w:p>
    <w:p>
      <w:pPr>
        <w:pStyle w:val="Heading2"/>
      </w:pPr>
      <w:r>
        <w:t>3. Karl Sandegård (Socialdemokraterna, man)</w:t>
      </w:r>
    </w:p>
    <w:p>
      <w:r>
        <w:rPr>
          <w:b w:val="0"/>
        </w:rPr>
        <w:t>Herr talman! Jag är livligt övertygad, att vännen Pauli i allmänhet har lika mycket sinne för traditionen, som han talade om sist, som någon annan i denna kammare, och jag skall icke säga mycket därom. Jag vill bara uttrycka den förmodan, att man bör kunna ha råd att visa pietet och hänsyn, icke endast för det man själv tycker är vackert och värdefullt här i världen, utan också för andras rätt att bibehålla vad de tycka är vackert och värdefullt, åtminstone så långt denna hänsyn icke gör intrång på eller kommer i vägen för någon ens egen oförytterliga rätt. Detta i allmänhet sagt.</w:t>
        <w:br/>
        <w:br/>
        <w:t>Den nu föreslagna reformen avser att avskaffa en traditionell ord-</w:t>
        <w:br/>
        <w:br/>
        <w:t>ning, vars enda påvisbara fel är, att den icke överensstämmer med en viss s. k. princip, en doktrin, skulle jag vilja säga. Herr Arthur Engberg sade i andra kammaren: det är fråga om ett rudiment, en blindtarm, ett av dessa gamla bevis för ett förflutet välde från kyrkans sida, som faktiskt icke längre består. Reformen måste således, om den vinner — som jag förmodar — även första kammarens bifall, få anses vara av ett bra tvivelaktigt värde. Man märkte förresten på debatten i andra kammaren, först och främst på uteblivandet av inlägg från de håll, där man har haft anledning vänta sådana, men även på de inlägg, som gjordes för att räcka motionären en hjälpande hand, hur innerligt betydelselös man finner hela denna föreslagna reform. Utskottets ärade och duktige ordförande i andra kammaren, som på dragande kall och ämbetets vägnar gav motionären sitt stöd, gav uttryck häråt i den lyckligt formade vändningen: ”Den föreliggande frågan må vara stor eller liten, så har det icke tillkommit utskottet att svarva den till lämplig storlek. Utskottet har ansett sig skyldigt att sakligt behandla den föreliggande motionen alldeles oberoende av hur popularitetens vindar blåsa och hur presstrumpeterna ackompanjera.” Herr Engberg, vars kärlek till vår gamla kyrka länge satts på hårda prov, medgav: ”Visserligen är detta en liten reform, om man ser den ur rent formell synpunkt. Men för att markera en princip, för att markera att det svenska skolväsendet skall stå på egen grund” etc., manade han kammaren att följa herr Wagnsson. Herr Vennerström, som har sinne för allt som är vackert, var ärlig nog att beledsaga sitt yrkande om bifall till motionen med ett personligt vittnesbörd om hur minnet av den eforus, biskop Rundgren, som på hans tid utövade sin eforusplikt vid det läroverk, där herr Vennerström förvärvade den vita mössan, var det vackraste minnet från hans skoltid. Herr Rydén, som avstod från något yrkande, förklarade sig anse, att denna fråga ”icke spelar någon synnerligen stor roll vare sig ur den ena eller andra synpunkten”. Herr Bengtsson i Norup tyckte också, att ”denna fråga göres alltför stor”.</w:t>
        <w:br/>
        <w:br/>
        <w:t>Så vitt jag förstår, ävlas motionären här endast att slå in en öppen dörr, det gäller ju att avskaffa ett förmynderskap, som allmänt erkännes icke existera. Herr Wagnsson för ingen de förtrycktas talan. Han är bara ute och motionerar en liten principhäst i den nya tidens morgonluft.</w:t>
        <w:br/>
        <w:br/>
        <w:t xml:space="preserve">Antagligen kommer motionen att vinna riksdagens bifall. Jag kommer icke att för min del kunna gratulera motionären, som är min partikamrat och gode vän. Visserligen är det här icke fråga om någon dödsstöt åt den gamla kyrkan, men ett knappnålssting kan åtminstone irritera. Allvarsamt sagt, för den som icke alls är blind för, att kyrkan i stort sett förtjänar så innerligt väl vad </w:t>
      </w:r>
      <w:r>
        <w:rPr>
          <w:b/>
        </w:rPr>
        <w:t>hon²</w:t>
      </w:r>
      <w:r>
        <w:rPr>
          <w:b w:val="0"/>
        </w:rPr>
        <w:t xml:space="preserve"> får till livs i denna tid, men som ändå icke, trots allt, kan upphöra att tro på kyrkans förnyelse och framtid, för den som efter måttet av sin kraft i många år varit med i ärlig strävan för denna förnyelse efter linjer, som jag tror att åtminstone många av även mina partikamrater skulle vilja vara med om, kännes det en smula vemodigt att nödgas konstatera, jag måste</w:t>
        <w:br/>
        <w:br/>
        <w:t>såga det, den absoluta brist på förståelse för vad hela saken gäller, som denna motion bär vittne om.</w:t>
        <w:br/>
        <w:br/>
        <w:t>Det finnes ett kyrkoideal, om vars kulturvärde jag skall tala tyst, sont är uppbyggt på föreställningen om religionen som en kulturen och samhället ovidkommande angelägenhet. Konsekvensen av detta kyrkoideal är ett religiöst samfund, vars medlemmar böra vara främmande så mycket som möjligt för det levande livets krav och verkligheter, vars förkunnare böra erhålla sin utbildning vid seminarier, kemiskt renade från den vetenskapliga forskningens smittofarliga baciller, vars hela organism från ovan till ända ned är väl avpassad att upprätthålla en så djup och vid klyfta som möjligt mellan religion och kultur, mellan religion och vetenskap, mellan religion och samhällsliv över huvud. Jag förstår, att motionären och hans medkämpar på denna linje i själ och hjärta djupt förakta ett sådant samfund. Detta ideal är icke deras. De ha över huvud icke något kyrkoideal. När de nu i alla fall göra vad de kunna i tid och otid för att förverkliga ett ideal, som icke är deras eget, är det naturligtvis därför, att de i sin föreställningsvärld icke ha rum för någon kyrkans kulturella eller samhälleliga uppgift. Jag undrar ändå, om icke framtiden kommer att ge herrarna orätt, och jag skulle vilja fråga: kan det, så länge statskyrkan består — och den kommer nog att bestå åtskilliga mansåldrar, vare sig vi vilja det eller ej — kan det ur statens synpunkt, ur kulturens synpunkt vara till gagn att ävlas isolera kyrkan på den ena punkten efter den andra från kulturen, att tvinga kyrkan till en konsolidering, som i sista hand, så vitt jag kan begripa, kommer att gå ut över staten och kulturen själv? Bli våra biskopar t. ex. mindre farliga, om de avhändas rätten och plikten att som statens förtroendemän under öppet ansvar taga en i detta fall visserligen obetydlig befattning även med statens undervisningsväsen? Har staten något att vinna på, att kyrkans ledning i domkapitlen berövas det kvalificerade lekmannainflytande, som närvaron där av t. ex. lektorer i matematik och historia innebär? Jag kan ju för min del få säga, att som präst, just ur kyrklig synpunkt, skulle jag hälsa en ordning, som berövade mig möjligheten att i mitt domkapitel se vännen Wigforss som bisittare, vara synnerligen ovälkommen.</w:t>
        <w:br/>
        <w:br/>
        <w:t>Den föreslagna reformens värde för ifrågavarande del av statens undervisningsväsen är intet. Jag tillåter mig konstatera, att det icke på något sätt av någon, vare sig i denna eller i den andra kammaren, kunnat uppletas ett enda argument för denna reforms värde annat än ur den s. k. principiella synpunkten. Man får kanske konstatera, att här således föreligger enighet. Så vitt jag vet, föreligger icke heller någon allmän eller bestående åstundan efter denna reform från dem, som nu framför allt skulle befrias från detta ovärdiga förmynderskap. Jag vill därför säga som herr Arthur Engberg i andra kammaren, jag tycker, att man, ”för att markera en princip”, i detta fall principen, att vi i det längsta vilja bevara sambandet mellan kyrka och kultur, i denna kammare borde ge motionen det svar, lektor Pauli, som den i alla fall förtjänar.</w:t>
        <w:br/>
        <w:br/>
        <w:t>Jag hemställer alltså, herr talman, om avslag på den föreliggande motionen och utskottsbetänkandet och bifall till den vid betänkandet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432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