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439</w:t>
      </w:r>
    </w:p>
    <w:p>
      <w:r>
        <w:rPr>
          <w:b/>
        </w:rPr>
        <w:t xml:space="preserve">Datum: </w:t>
      </w:r>
      <w:r>
        <w:t>1922-05-24</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Winberg (Kilbomspartiet, man)</w:t>
      </w:r>
    </w:p>
    <w:p>
      <w:r>
        <w:rPr>
          <w:b w:val="0"/>
        </w:rPr>
        <w:t>Ja, herr talman, när jag läste igenom denna punkt i utskottsutlåtandet, så fann också jag det mycket egendomligt, att utskottet gjort en dylik framställning. Efter de synnerligen överwäldigande och oomkullrunkeliga skäl, som ha framkommit därigenom att statsrådet citerat en del uttalanden i ingångna skrivelser, förstår jag emellertid, att utskottet har måst falla till föga. Jag kan även möj-</w:t>
        <w:br/>
        <w:br/>
        <w:t>ligen förstå, att dessa skäl haft så stor inverkan, att t. o. m. medlemmar av regeringspartiet nu här nödgats gå med på denna anmärkning. Det är att beklaga, att sådana schismer skola inträda, men det kan inte hjälpas, när det gäller de realiteter, som röra sig här i världen, utan vi måste böja oss för dem.</w:t>
        <w:br/>
        <w:br/>
        <w:t>Emellertid måste jag säga, att det inte är någon vidare logik i utskottets anmärkningar på de olika punkterna. I en föregående punkt gjordes anmärkning mot ett statsråd, därför att han mot vederbörande myndigheter hade tillstyrkt en viss sak. Här gör utskottet en anmärkning mot ett annat statsråd, därför att denne inte har upphävt ett beslut, som fattats av andra myndigheter. Således anmärkes det på att inte vederbörande statståd gått emot såväl vederbörande verkstyrelsers som också länsstyrelsens utlåtanden i ärendet. Det är ju tur för oss, att det finnes så gott om människor, som vilja regera, ty i annat fall måste jag säga, att inför en sådan hållningslöshet, då man inte vet, hur man skall regera, skulle vi snart riskera att komma i en sådan situation, att ingen människa ville hålla på med att regera i detta land med en sådan riksdag och sådant konstitutionsutskott. Det skulle inte göra så mycket för min del, men kanske det bleve tråkigt för andra.</w:t>
        <w:br/>
        <w:br/>
        <w:t>Emellertid måste jag säga, att med all den pietetshänsyn, som särskilt konstitutionsutskottet, men också riksdagen förfogar över, så tror jag nog, att det ändå wore klokt, åtminstone när vi röra oss på realiteternas område, på trafikoch kommunikationsområdet, att man inte alldeles bortser från dessa mera reella skäl och alltför mycket skattar åt pietetshänsyn. Även om man till förmån för de senare kan anföra, att både furstar och konungar och riksråd och generaler ha varit bekanta och färdats över dessa marker, så tror jag inte man får fästa för stort avseende vid det.</w:t>
        <w:br/>
        <w:br/>
        <w:t>Jag skulle vilja sluta mitt anförande med att säga, att särskilt denna punkt i konstitutionsutskottets utlåtande vittnar om, att det måste råda en arbetsbrist inom konstitutionsutskottet, som det bör bli riksdagens plikt att se till att den avskaffas, så att man inte behöver laborera med sådana här saker.</w:t>
        <w:br/>
        <w:br/>
        <w:t>Överläggningen ansågs härmed slutad, varefter den förevarande punkten lades till handlingarna.</w:t>
        <w:br/>
        <w:br/>
        <w:t>”Under granskningsåret hava förekommit ett antal ärenden rörande beviljande av ansökningar om nya släktnamn, vilkas handläggning enligt utskottets mening varit anmärkningsvärd. Då dessa ärenden äro av vä-</w:t>
        <w:br/>
        <w:br/>
        <w:t>sentligen samma beskaffenhet, torde det vara tillräckligt att redogöra för ett av desamma.</w:t>
        <w:br/>
        <w:br/>
        <w:t>Förestående ansökan av vår fosterson Erik Adolf Olsson anhåller vi i egenskap av målsmän för bemälda Olsson måtte bifallas.</w:t>
        <w:br/>
        <w:br/>
        <w:t>Bifogat åldersbetyg utvisar, att Olsson var född den 27 juli 1906.</w:t>
        <w:br/>
        <w:br/>
        <w:t>Denna ansökan insändes sedermera den 7 april 1921 av länsstyrelsen till ecklesiastikdepartementet, med hänvisning till $ 4 i förordningen om antagande av släktnamn, enligt vilken, då ansökan om godkännande av nytt släktnamn icke finnes böra avslås, densamma skall insändas till Konungen i ecklesiastikdepartementet för avgörande. På tillstyrkan av föredragande departementschefen biföll Kungl. Maj:t den 29 april ansökningen.</w:t>
        <w:br/>
        <w:br/>
        <w:t>Till ärendets belysande vill utskottet meddela, att sedermera, den 24 april 1922, till Kungl. Maj:t ingavs en framställning av följande innehåll:</w:t>
        <w:br/>
        <w:br/>
        <w:t xml:space="preserve">”Cenom resolution den 29 april 1921 har Eders Kungl. Maj:t bifallit en av min omyndige son, Erik Adolf Widlund, född den 28 juli 1906, i ansökningen kallad Erik Adolf Olsson, ingiven underdånig ansökning att antaga släktnamnet "Lindberg". Å ansökningen hade rättaren J. G. Lindberg och hans </w:t>
      </w:r>
      <w:r>
        <w:rPr>
          <w:b/>
        </w:rPr>
        <w:t>hustru²</w:t>
      </w:r>
      <w:r>
        <w:rPr>
          <w:b w:val="0"/>
        </w:rPr>
        <w:t>, boende å Brunna gård, Vänge socken, påtecknat, att de tillstyrkte gossens ansökan i egenskap av ”målsmän” för honom, som de benämnde ”fosterson'. Vid ansökningen har ock fogats ett av vederbörande pastorsämbete avgivet ålderbevis för gossen, vari denne likaledes betecknas såsom rättaren Lindbergs ”fosterson'.</w:t>
        <w:br/>
        <w:br/>
        <w:t xml:space="preserve">Den framställning, som sålunda givits rörande min son är emellertid fullkomligt oriktig. Min gosse är ingalunda någon ”fosterson” till rättaren Lindberg och dennes </w:t>
      </w:r>
      <w:r>
        <w:rPr>
          <w:b/>
        </w:rPr>
        <w:t>hustru²</w:t>
      </w:r>
      <w:r>
        <w:rPr>
          <w:b w:val="0"/>
        </w:rPr>
        <w:t>, utan är blott hos dem inackorderad. Då gossen var 9 månader gammal, träffade jag med makarne Lindberg</w:t>
        <w:br/>
        <w:br/>
        <w:t>ning av 15 kronor i månaden, och har Lindberg erhållit betalning för inackordering med tillhopa cirka 2,000 kronor, varmed han förklarat sig nöjd.</w:t>
        <w:br/>
        <w:br/>
        <w:t>Jag har emellertid aldrig avstått från mitt målsmansskap över min son, och när Lindberg betecknar honom såsom sin ”fosterson', är detta en fullkomligt självtagen rätt. Jag är alltjämt min sons förmyndare och ämnar icke avstå därifrån.</w:t>
        <w:br/>
        <w:br/>
        <w:t>Då jag emellertid icke finner vare sig lämpligt eller för min son lyckligt att hans riktiga släktnamn Widlund utbytes mot Lindberg, och då den ansökning till namnförändring, som av Eders Kungl. Maj:t beviljats, skett utan min vetskap, får jag härmed i underdånighet hemställa, att Eders Kungl. Maj:t måtte med upphävande av nyssberörda resolution förordna, att min sons släktnamn skall vara det namn han rätteligen förut bar, nämligen mitt namn före mitt äktenskap, Widlund.</w:t>
        <w:br/>
        <w:br/>
        <w:t>Enligt utskottets mering är föredragande departementschefens tillstyrkande av beslutet den 29 april 1921 anmärkningsvärt. I fall som detta torde nämligen icke, enligt gällande bestämmelser, ansökningar om nytt släktnamn kunna beviljas.</w:t>
        <w:br/>
        <w:br/>
        <w:t xml:space="preserve">I $ 1 av lagen om barn utom äktenskap av den 14 juni 1917 stadgas, att "barn utom äktenskap erhåller </w:t>
      </w:r>
      <w:r>
        <w:rPr>
          <w:b/>
        </w:rPr>
        <w:t>moderns²</w:t>
      </w:r>
      <w:r>
        <w:rPr>
          <w:b w:val="0"/>
        </w:rPr>
        <w:t xml:space="preserve"> släktnamn”. I 8 2 av samma lag föreskrives, att ”modern have vårdnaden om barnet och vare dess förmyndare”. Dessa bestämmelser böra, för belysningen av förevarande fråga, jämföras med $ 7 av förordningen angående antagande av släktnamn den 5 december 1901, där det stadgas, att ”för den, som ej uppnått myndig ålder, göres anmälan om nytt släktnamns införande i kyrkobok eller ansökan, som i denna förordning avses, av den eller dem; som hava vårdnaden om honom”. Att det vårdnadsbegrepp, som här avses, är av samma innehåll som det i 1917 års lag om barn utom äktenskap åsyftade, framgår därav, att berörda stadgande tillkom i samband med genomförandet av den nya äktenskapslagen, som på denna punkt anknöts till 1917 års lag. En sammanställning av de citerade lagrummen visar alltså att för barn utom äktenskap ansökan om nytt släktnamn skall ingivas av barnets </w:t>
      </w:r>
      <w:r>
        <w:rPr>
          <w:b/>
        </w:rPr>
        <w:t>moder²</w:t>
      </w:r>
      <w:r>
        <w:rPr>
          <w:b w:val="0"/>
        </w:rPr>
        <w:t xml:space="preserve"> eller förmyndare, om sådan särskilt förordnats. I förevarande fall har så ej skett, ej heller har </w:t>
      </w:r>
      <w:r>
        <w:rPr>
          <w:b/>
        </w:rPr>
        <w:t>moderns²</w:t>
      </w:r>
      <w:r>
        <w:rPr>
          <w:b w:val="0"/>
        </w:rPr>
        <w:t xml:space="preserve"> samtycke till namnändringsansökningen inhämtats. Under sådana förhållanden hade ansökningen i fråga icke bort tillstyrkas.</w:t>
        <w:br/>
        <w:br/>
        <w:t>Övriga under förevarande punkt upptagna ärenden äro, såsom förut framhållits, av väsentligen samma beskaffenhet. Utskottet anser sig sålunda böra, jämlikt $ 107 regeringsformen, hos riksdagen göra anmälan mot de departementschefer, som handliagt desamma, nämligen statsråden Bergqvist och Olsson.”</w:t>
      </w:r>
    </w:p>
    <w:p>
      <w:pPr>
        <w:pStyle w:val="Heading2"/>
      </w:pPr>
      <w:r>
        <w:t>2. Olof Olsson (Socialdemokraterna, man)</w:t>
      </w:r>
    </w:p>
    <w:p>
      <w:r>
        <w:rPr>
          <w:b w:val="0"/>
        </w:rPr>
        <w:t>Herr talman! Jag utgår ifrån, att kammarens ledamöter ha tagit del av denna 13:de punkt och att jag således inte behöver referera den i annan mån, än att jag i korthet anger vad den innehåller.</w:t>
        <w:br/>
        <w:br/>
        <w:t xml:space="preserve">Det är ju så, att en ung jordbruksarbetare, Erik Adolf Olsson, har gått in med en underdånig framställning om att få kalla sig Lindberg. Tvenne makar Lindberg, som ange honom som sin fosterson, ha stött denna ansökan, och så har Kungl. Maj:t den 29 april i fjol bifallit den. Men ett år därefter har en </w:t>
      </w:r>
      <w:r>
        <w:rPr>
          <w:b/>
        </w:rPr>
        <w:t>kvinna¹</w:t>
      </w:r>
      <w:r>
        <w:rPr>
          <w:b w:val="0"/>
        </w:rPr>
        <w:t xml:space="preserve">, som heter Emma Ohlsson, kommit in med en framställning till Kungl. Maj:t och sagt, att </w:t>
      </w:r>
      <w:r>
        <w:rPr>
          <w:b/>
        </w:rPr>
        <w:t>hennes²</w:t>
      </w:r>
      <w:r>
        <w:rPr>
          <w:b w:val="0"/>
        </w:rPr>
        <w:t xml:space="preserve"> omyndige son Erik Adolf Widlund fortfarande är </w:t>
      </w:r>
      <w:r>
        <w:rPr>
          <w:b/>
        </w:rPr>
        <w:t>hennes²</w:t>
      </w:r>
      <w:r>
        <w:rPr>
          <w:b w:val="0"/>
        </w:rPr>
        <w:t xml:space="preserve"> son och att </w:t>
      </w:r>
      <w:r>
        <w:rPr>
          <w:b/>
        </w:rPr>
        <w:t>hon²</w:t>
      </w:r>
      <w:r>
        <w:rPr>
          <w:b w:val="0"/>
        </w:rPr>
        <w:t xml:space="preserve"> alltjämt är denne sons förmyndare. Och </w:t>
      </w:r>
      <w:r>
        <w:rPr>
          <w:b/>
        </w:rPr>
        <w:t>hon²</w:t>
      </w:r>
      <w:r>
        <w:rPr>
          <w:b w:val="0"/>
        </w:rPr>
        <w:t xml:space="preserve"> protesterar emot, att han skulle vara fosterson till makarna Lindberg, och </w:t>
      </w:r>
      <w:r>
        <w:rPr>
          <w:b/>
        </w:rPr>
        <w:t>hon²</w:t>
      </w:r>
      <w:r>
        <w:rPr>
          <w:b w:val="0"/>
        </w:rPr>
        <w:t xml:space="preserve"> protesterar också emot, att hans möderneärvda namn Widlund skulle förändras till Lindberg.</w:t>
        <w:br/>
        <w:br/>
        <w:t>Ja, detta är saken. Den skulle, så enkel den ser ut, innebära brott emot tvenne paragrafer, dels mot paragraf 1 i lagen om barn utom äktenskap och dels mot paragraf 7 i förordningen om antagande av släktnamn, och därför har konstitutionsutskottet bestämt sig för att göra anmälan dels mot min företrädare och dels mot mig, detta senare på grund av att det skulle finnas ärenden av liknande beskaffenhet, som alldeles särskilt angå mig.</w:t>
        <w:br/>
        <w:br/>
        <w:t xml:space="preserve">Nu skulle jag först, innan jag går över till själva det sakliga, vilja göra ett par formella anmärkningar. Det står här, att Erik Adolf Olsson är född den 27 juli 1906, och i Emma Ohlssons skrivelse står det, att Erik Adolf Widlund är född den 28 juli. Jag är inte riktigt säker på om konstitutionsutskottet anser detta vara samma person, jag har en viss misstanke. Och jag hyser denna, som det kan synas, rätt egendomliga misstanke på grund därav, att jag tror, att det högt ärade konstitutionsutskottets ledamöter heller inte äro riktigt säkra på att Erik Adolf Olsson inte är fosterson till makarna Lindberg. Om vi gå till det åldersbetyg, som inkommit, talas det där om ”jordbruksarbetaren Erik Adolf Olsson från Brunna gård i denna församling, fosterson till befallningsmannen J. G. Lindberg och hans </w:t>
      </w:r>
      <w:r>
        <w:rPr>
          <w:b/>
        </w:rPr>
        <w:t>hustru²</w:t>
      </w:r>
      <w:r>
        <w:rPr>
          <w:b w:val="0"/>
        </w:rPr>
        <w:t>”, och det angives där, att han är född den 27 juli. Om vi få lämna detta betyg vitsord, vad beträffar datum, så kan det hända, att vi tillsvidare åtminstone inte böra vägra det vitsord, då det gäller frågan, huruvida den unge mannen är makarna Lindbergs fosterson. Personligen har jag ingen aning om hur det förhåller sig med den saken. Det är nämligen så, att man egentligen inte vet någonting. Men om konstitutionsutskottet vet någonting, så skulle det vara intressant att få höra, hur det fått veta detta.</w:t>
        <w:br/>
        <w:br/>
        <w:t>Det är ännu en formell anmärkning, som jag skulle vilja göra. Detta ärende är inte på något sätt handlagt av mig. Emma Ohlssons</w:t>
        <w:br/>
        <w:br/>
        <w:t>skrivelse kom in den 24 april i år och remitterades den 26 april till Ang. sättet för domkapitlet i Uppsala, och innan den kommer därifrån och under mina aan ögon, har jag ingenting med denna sak att göra. När det därför säges a, om släkthär, att ”övriga under förevarande punkt upptagna ärenden äro, såsom namn. förut framhållits, av väsentligen samma beskaffenhet”, så frågar jag: &lt;(Forts.) vad är meningen med detta yttrande av konstitutionsutskottet? Menar man, att den väsentligen samma beskaffenhet hos de ärenden, som ha föranlett anmälan mot mig, är, att jag inte handlagt ärendena? Ja, den frågan är ju också en bagatell, men den är i så motto, om jag så får säga, kongenial med hela den 13 punkten.</w:t>
        <w:br/>
        <w:br/>
        <w:t>Om jag så lämnar de formella tingen och går till själva kärnan, så är det mycket möjligt, att jag gjort mig skyldig till brott mot dessa båda paragrafer. Och det kan hända, att min företrädare har begått samma brott, men i så fall finns det verkligen rätt förmildrande omständigheter. Det är ju så, att den ansökan, som här är speciellt refererad, kom in till länsstyrelsen i Uppsala den 27 januari i fjol. Länsstyrelsen utfärdade en kungörelse, som inflöt i tidningen Uppsala den 4 februari och i Postoch inrikestidningar den 5 februari. Ingen protest emot namnförändringen hördes av. I departementet hade man ingen anledning att tvivla på att innehållet i åldersbetyget från kyrkoherden överensstämde med sanningen. Naturligtvis kunde man från departementets sida ha gjort en undersökning, en grundlig undersökning, om den här saken för att få tag i vem denne Erik Adolf Olsson var — om han var Erik Adolf Olsson eller Erik Adolf Widlund — men om man betänker, att i fjol inte mindre än 1,783 dylika ärenden kommit in till departementet och avgjorts där, så förstår man, att det inte är så lätt att utföra dessa grundliga undersökningar, utan man har i departementet måst följa den praxis, att man tager för gott, vad kyrkoherdarna i församlingarna skriva i sina åldersbetyg. Jag kan tillägga, att regeringsrätten följer samma praxis som ecklesiastikdepartementet.</w:t>
        <w:br/>
        <w:br/>
        <w:t>Som en ursäkt för att jag yttrat mig i denna sak, då jag på sätt och vis inte är inblandad och ännu inte fått något fall framdraget, där jag faktiskt är fast, får jag sluta med att säga, att jag förstår, att konstitutionsutskottet har tyckt det bekvämt att slå två flugor i en smäll, men jag måste också säga, att punkten 13:0o inte är någon vidare bra flugsmälla.</w:t>
      </w:r>
    </w:p>
    <w:p>
      <w:pPr>
        <w:pStyle w:val="Heading2"/>
      </w:pPr>
      <w:r>
        <w:t>3. Carl Axel Reuterskiöld (Utan partibeteckning, man)</w:t>
      </w:r>
    </w:p>
    <w:p>
      <w:r>
        <w:rPr>
          <w:b w:val="0"/>
        </w:rPr>
        <w:t>Herr statsrådet säger sig icke riktigt förstå, vad konstitutionsutskottet menat med sin anmärkning mot honom. Jag tillåter mig tvivla på att denna herr statsrådets utsaga är någonting annat än en lika skämtsam utsaga som en del av vad statsrådet i övrigt anfört. Jag tillåter mig också framhålla, att när konstitutionsutskottet skrivit, att ”en sammanställning av de citerade lagrum-</w:t>
        <w:br/>
        <w:br/>
        <w:t xml:space="preserve">men visar alltså, att för barn utom äktenskap ansökan om nytt släktnamn skall ingivas av barnets </w:t>
      </w:r>
      <w:r>
        <w:rPr>
          <w:b/>
        </w:rPr>
        <w:t>moder²</w:t>
      </w:r>
      <w:r>
        <w:rPr>
          <w:b w:val="0"/>
        </w:rPr>
        <w:t xml:space="preserve"> eller förmyndare, om sådan särskilt förordnats”, så ligger däri en liten antydan om vad som är gemensamt för de fall, vilka icke äro refererade utan där man endast hänvisat till protokollens datum, och det fall, som är refererat.</w:t>
        <w:br/>
        <w:br/>
        <w:t xml:space="preserve">Men då kan ju kammaren fråga, varför utskottet just har refererat detta fall, som den nu fungerande chefen för ecklesiastikdepartementet icke haft någon befattning med, fast han kanhända kommer att få det i år. Jo, det är emedan det är ett sådant fall, där man kan få ett påtagligt belägg för att den praxis, som utskottet vänder sig mot kan ha sina risker. Skulle utskottet hava tagit ett annat fall — ty utskottet har funnit många sådana i det material, som är infordrat — kunde man hava sagt om anmärkningen: ”Ja, detta är nog riktigt och sant, men har det skett någon skada?” Nu kan utskottet peka på detta fallet som ett klart bevis. Handlingarna äro, om jag icke misstager mig — det kanske herr statsrådet kan upplysa om — för närvarande ute på remiss i bygderna, och det är svårt att för ögonblicket få reda på dem, men den handling, som inkom, var åtföljd av alla nödiga kyrkoboksintyg rörande både barnets identitet och </w:t>
      </w:r>
      <w:r>
        <w:rPr>
          <w:b/>
        </w:rPr>
        <w:t>moderns²</w:t>
      </w:r>
      <w:r>
        <w:rPr>
          <w:b w:val="0"/>
        </w:rPr>
        <w:t>.</w:t>
        <w:br/>
        <w:br/>
        <w:t xml:space="preserve">Vad är det då frågan gäller? Jo, vad utskottet anmärkt på, är att departementet — ja, herr statsrådet står för departementets verksamhet, fast jag fullt erkänner, att det icke är mycket, som kan läggas herr statsrådet själv till last, utan det är departementet — tror, att när det står i ett prästbetyg, att en person är fosterson till någon är detta detsamma som att denne skulle vara hans förmyndare eller målsman. Nu tycker utskottet, att när det gäller en viss rätt, som civillag tillerkänt både äkta och oäkta barn, nämligen för de oäkta barnen — jag använder detta uttryck, som är litet kortare än det lagen har — rätt till </w:t>
      </w:r>
      <w:r>
        <w:rPr>
          <w:b/>
        </w:rPr>
        <w:t>moderns²</w:t>
      </w:r>
      <w:r>
        <w:rPr>
          <w:b w:val="0"/>
        </w:rPr>
        <w:t xml:space="preserve"> namn och för barn i äktenskap till faderns namn, så bör ett avstående av denna rätt icke ske utan faders eller moders eller laga förmyndares medgivande, och det i all synnerhet som den namnförordning av 1901, som Kungl. Maj:t utfärdat på egen hand, i 7 $ stadgar, att ansökan om nytt släktnamn för någon som icke uppnått myndig ålder skall göras av den, som har vårdnaden om honom. Kanske vill man svara i ecklesiastikdepartementet, att de som hava vårdnaden om barnet äro fosterföräldrarna, och därför äro de berättigade att göra en dylik ansökan. Men ecklesiastikdepartementet glömmer då, att 7 $ på samma ecklesiastikdepartements föredragning är ändrad av Kungl. Maj:t år 1920. Förut stod det ”målsman” i paragrafen, men när 1920 års lag om barn i äktenskap kom med anknytning till 1917 års lag om barn utom äktenskap, använde man där uttrycket ”vårdnaden”, och den som har vårdnaden angives vara fadern eller modern eller laga förmyndare. Samtidigt ändrade man 1901 års namnförordning, så att uttrycket ”målsman” utbyttes mot ”den eller dem, som hava vårdnaden om honom”.</w:t>
        <w:br/>
        <w:br/>
        <w:t>För en vanlig människa skulle det under dessa förhållanden ligga nära till hands att antaga, att meningen är, att den som sålunda svarar för barnet och har att tillvarataga dess rätt också är den, som skall</w:t>
        <w:br/>
        <w:br/>
        <w:t>göra ansökan och ingen annan. Varifrån har då ecklesiastikdeparte- Ang. sättet för mentet fått detta, att fosterföräldrarna skola göra det? Herr statsbondöggring rådet betonade, att det står ”fosterföräldrar” i prästbeviset, och därför är om släkte trodde departementet att det var sant, att han verkligen var fosterson. — namn. Ja, det fanns en gång i den s. k. tjänstehjonsstadgan en bestämmelse (Forts.) om fosterbarn, där det stod, att fosterföräldrarna hade målsmanskap för barnet. Men den paragrafen upphävdes 1920, och då gjordes den nämnda förändringen i namnförordningen av 1901. Vad ecklesiastikdepartementet har byggt sin tolkning av begreppet ”fosterbarn” på, är alltså en gammal författning, som numera är upphävd, och vi tyckte i konstitutionsutskottet, att eftersom detta skedde så sent som 1920, hade det icke skadat, om departementet haft reda på saken, i synnerhet som departementet självt då ändrade namnförordningen.</w:t>
        <w:br/>
        <w:br/>
        <w:t xml:space="preserve">Nu tillkommer det emellertid, att departementet så mycket mindre kan vara okunnigt om dessa förhållanden, som bland de rätt talrika namnändringsansökningar, som utskottet haft inne, det finnes ett ingalunda ringa antal, där lagligen förordnad förmyndare gjort ansökningen eller till fosterföräldrarnas ansökan bifogar ett intyg, att han samtyckt. Det finns ett tämligen stort antal andra ansökningar, där barnets </w:t>
      </w:r>
      <w:r>
        <w:rPr>
          <w:b/>
        </w:rPr>
        <w:t>moder²</w:t>
      </w:r>
      <w:r>
        <w:rPr>
          <w:b w:val="0"/>
        </w:rPr>
        <w:t>, eller i fråga om äkta barn, barnets föräldrar, giva sitt samtycke. Det finnes andra fall, där fattigvården utackorderat barn hos fosterföräldrar enligt fosterbarnslagen, och då finnes intyg från fattigvårdsstyrelsen, att den samtycker. Man tycker, att när sådana situationer föreligga, borde det hava funnits anledning för ecklesiastikdepartementet att se efter i de fall, där dylikt intyg saknas, om det icke är någonting som är felaktigt i handlingarna.</w:t>
        <w:br/>
        <w:br/>
        <w:t>Man kan säga, att det icke är så mycket det gäller. Man kan ju få igen sitt namn. Det kan rulla runt vartannat år, och man kan det ena året heta si, andra året så. Men inte är det så angenämt ur rättssäkerhetssynpunkt, om lagen utsäger, att en rätt föreligger — låt vara ringa — att den skall kunna utan vidare gå förlorad bara på grund av att ett par personer, som kalla sig fosterföräldrar och i prästbetyget angivas som fosterföräldrar, vilket de skola göra, då barnet är utackorderat mot ersättning, här betraktas som målsmän. Måhända kunde det för övrigt av departementet begäras, att man där icke wore alldeles okunnig om $ 1 i 1902 års fosterbarnslag, där det står bl. a., att barn, som vårdas hos förmyndare, icke är att anse som fosterbarn i lagens mening. Till jämförelse må till sist erinras, att i adoptionslagen det uttryckligen är sagt, att det skall vara föräldrar eller förmyndare, som giva sitt samtycke. Jag har för övrigt också gått igenom justitiedepartementets ärenden, och kan vitsorda att detta är ett av de få fall, där jag tyckt, att justitiedepartementets chef har skött sig riktigt bra, ty han har här iakttagit just vad man hade väntat sig, att man även i ecklesiastikdepartementet skulle iakttaga.</w:t>
      </w:r>
    </w:p>
    <w:p>
      <w:pPr>
        <w:pStyle w:val="Heading2"/>
      </w:pPr>
      <w:r>
        <w:t>4. Olof Olsson (Socialdemokraterna, man)</w:t>
      </w:r>
    </w:p>
    <w:p>
      <w:r>
        <w:rPr>
          <w:b w:val="0"/>
        </w:rPr>
        <w:t>Herr talman! Jag tror inte, att man behöver säga, att man inom ecklesiastikdepartementet är okunnig om</w:t>
        <w:br/>
        <w:br/>
        <w:t>vissa saker. Man har naturligtvis där fullkomligt reda på de ting, som den ärade siste talaren nyss berörde. Men vad som var kärnan i det jag yttrade, det var, att det är rätt så svårt att inom ecklesiastikdepartementet, när antalet ärenden av denna kategori går upp, som det väl gör detta år, till ungefär 2,000, i varje sådant här särskilt fall göra en lång och ingående undersökning, som den Uppsala domkapitel nu har fått på sin lott. Man har på grund av ärendenas mängd tvingats lita på, att den uppgift om vårdnaden, som lämnas från vederbörande pastorsämbete, verkligen är riktig. Det är naturligtvis därpå det hänger, och det är inte så, att man bryter mot vissa paragrafer med öppna ögon; man har tvingats in i en viss praxis, och som jag nämnde, följer ju regeringsrätten enahanda praxis.</w:t>
      </w:r>
    </w:p>
    <w:p>
      <w:pPr>
        <w:pStyle w:val="Heading2"/>
      </w:pPr>
      <w:r>
        <w:t>5. Samuel Clason (Första kammarens nationella parti, man)</w:t>
      </w:r>
    </w:p>
    <w:p>
      <w:r>
        <w:rPr>
          <w:b w:val="0"/>
        </w:rPr>
        <w:t xml:space="preserve">På denna punkt har jag och åtskilliga andra medlemmar av utskottet anmält vår reservation mot utskottets anmälan, och jag vill säga, att jag för min del gjort detta, därför att det icke i ett enda fall, som föreligga, har ådagalagts, att vederbörande, vars namn ändrats, faktiskt stått under </w:t>
      </w:r>
      <w:r>
        <w:rPr>
          <w:b/>
        </w:rPr>
        <w:t>moderns²</w:t>
      </w:r>
      <w:r>
        <w:rPr>
          <w:b w:val="0"/>
        </w:rPr>
        <w:t xml:space="preserve"> förmynderskap eller vårdnad. Utskottet gör nu sin anmälan, därför att Kungl. Maj:t icke gjort någon undersökning därom. Men jag har för min del menat, att innan utskottet gjort sin anmärkning, borde utskottet självt hava ådagalagt, att någon </w:t>
      </w:r>
      <w:r>
        <w:rPr>
          <w:b/>
        </w:rPr>
        <w:t>moderns²</w:t>
      </w:r>
      <w:r>
        <w:rPr>
          <w:b w:val="0"/>
        </w:rPr>
        <w:t xml:space="preserve"> rätt eller intressen trätts för nära, och icke bara, att någon möjlighet därtill förelegat. :</w:t>
        <w:br/>
        <w:br/>
        <w:t xml:space="preserve">Icke ens i det refererade fallet anser jag, att något bevis framförts för att modern verkligen hade förmynderskapet. </w:t>
      </w:r>
      <w:r>
        <w:rPr>
          <w:b/>
        </w:rPr>
        <w:t>Hennes²</w:t>
      </w:r>
      <w:r>
        <w:rPr>
          <w:b w:val="0"/>
        </w:rPr>
        <w:t xml:space="preserve"> och </w:t>
      </w:r>
      <w:r>
        <w:rPr>
          <w:b/>
        </w:rPr>
        <w:t>hennes²</w:t>
      </w:r>
      <w:r>
        <w:rPr>
          <w:b w:val="0"/>
        </w:rPr>
        <w:t xml:space="preserve"> advokats påstående därom ett år efter det saken passerat är intet bevis; det avgörande beviset på den punkten är icke förebragt.</w:t>
        <w:br/>
        <w:br/>
        <w:t>För övrigt vill jag säga, att om man vill se på den materiella sidan i sistnämnda fall hava vi inom utskottet, som äro reservanter, ansett, att den materiella rätten mera talat till förmån för dem, som under 14, 15 år haft barnet under sin uppfostran och haft vård om det, än för modern, som genast efter barnets födelse lämnade det ifrån sig och först nu kommer med anspråk på det.</w:t>
      </w:r>
    </w:p>
    <w:p>
      <w:pPr>
        <w:pStyle w:val="Heading2"/>
      </w:pPr>
      <w:r>
        <w:t>6. Carl Axel Reuterskiöld (Utan partibeteckning, man)</w:t>
      </w:r>
    </w:p>
    <w:p>
      <w:r>
        <w:rPr>
          <w:b w:val="0"/>
        </w:rPr>
        <w:t>Det är intressant att höra att utskottets ärade ordförande kunnat bilda sig ett omdöme om det materiellt riktiga i en fråga, som utskottet icke haft någon som helst anledning att undersöka ur materiell rättssynpunkt. Det har under diskussionen uttalats vissa åsikter därom, men så vitt jag kan finna, hava dessa åsikter i varje fall icke något stöd i handlingarna.</w:t>
        <w:br/>
        <w:br/>
        <w:t xml:space="preserve">Vidare säger herr ordföranden i konstitutionsutskottet, att det icke är ådagalagt, att modern är förmyndare. Nej, tacka för det, ty det är </w:t>
      </w:r>
      <w:r>
        <w:rPr>
          <w:b/>
        </w:rPr>
        <w:t>hon²</w:t>
      </w:r>
      <w:r>
        <w:rPr>
          <w:b w:val="0"/>
        </w:rPr>
        <w:t xml:space="preserve"> omedelbart enligt lag, tills någon annan förmyndare blir utsedd! Det behöver alltså aldrig ådagaläggas, utan kan läsas i lagen — 1917 och 1920 års lagar ! Därför tillåter jag mig också, herr statsråd, att säga, att det inte behövs någon vidlyftig undersökning i de 2,000 målen, utan man tittar bara efter i de ansökningshandlingar, som skola ingivas, om</w:t>
        <w:br/>
        <w:br/>
        <w:t xml:space="preserve">det finnes något intyg från barnets i prästbeviset angivna </w:t>
      </w:r>
      <w:r>
        <w:rPr>
          <w:b/>
        </w:rPr>
        <w:t>moder²</w:t>
      </w:r>
      <w:r>
        <w:rPr>
          <w:b w:val="0"/>
        </w:rPr>
        <w:t xml:space="preserve"> eller Ang. sättet för</w:t>
        <w:br/>
        <w:br/>
        <w:t>fader, såvida det icke står, att barnets föräldrar äro okända, ty då kan man ju icke begära det. Och finnes icke något intyg därom, skall man bland dessa handlingar hava intyg om att förmyndaren har lämnat sitt samtycke. Ecklesiastikdepartementet går ut från, att när prästbeviset säger, att vissa personer äro fosterföräldrar, de utan vidare hava vårdnaden om barnet i lagens mening. Detta är dock icke fallet, och med vad jag nyss anförde ville jag just visa, att de icke hava vårdnaden om barnet i den mening, som avses i 1901 års namnförordning, sedan detta uttryck sattes in i stället för ”målsman”, som det stod där före 1920.</w:t>
        <w:br/>
        <w:br/>
        <w:t>Herr statsrådet anmärkte, att regeringsrättens praxis är likadan. Jag har också sett sådana fall från regeringsrätten bland dem, som vi haft att granska i år. Men herr statsrådet erinrar sig kanske, att regeringsrätten enligt lagen icke haft några andra fall att pröva än sådana, där Konungens befallningshavande avslagit ansökningen och ansett, att det önskade namnet icke kunde beviljas. Då kan man klaga, och besvären gå till regeringen, men regeringsrätten prövar icke något annat än det som klagan gäller och har alltså att undersöka, huruvida avslaget på den angivna grunden var eller icke var befogat. Sedan kommer ärendet till Kungl. Maj:t för slutligt avgörande. Jag kan icke inse, att den omständigheten, att regeringsrätten icke prövar, vad den icke behöver pröva, är något skäl för Kungl. Maj:t i statsrådet att icke heller pröva, vad han dock skall pröva!</w:t>
        <w:br/>
        <w:br/>
        <w:t>Efter härmed slutad överläggning lades den ifrågavarande punkten till handlingarna.</w:t>
        <w:br/>
        <w:br/>
        <w:t>I sin skrivelse den 15 juni 1920 (nr 365) anhöll riksdagen, att Kungl. Maj:t täcktes låta utreda, i vad mån och på vad sätt staten kunde lämna bidrag till uppförande av byggnader för folkskoleväsendet i riket, samt därefter snarast möjligt för riksdagen framlägga det förslag, vartill utredningen kunde föranleda. Till stöd härför erinrade riksdagen om att frågan varit föremål för behandling vid 1919 års riksdag och att skolöverstyrelsen då bland annat meddelat, att en ekonomisk utredning med dylikt syfte måste tillhöra det utredningsarbete angående folkskoleväsendet, varmed överstyrelsen då vore sysselsatt. Riksdagen hade inhämtat, att det ifrågavarande utredningsarbetet ännu befunne sig på det förberedande stadiet och i överstyrelsen hade uttalats, att det fortfarande skulle vara ett värdefullt stöd, om riksdagen beslutade skrivelse till Kungl. Maj:t på sätt motionärerna vid 1920 års riksdag föreslagit. I övrigt uttalade sig riksdagen om erforderligheten av och riktlinjerna för den begärda utredningen.</w:t>
        <w:br/>
        <w:br/>
        <w:t>april 1921. Härvid anförde departementschefen, statsrådet Bergqvist följande:</w:t>
        <w:br/>
        <w:br/>
        <w:t>Vidare bemyndigades skolöverstyrelsen genom nådigt brev den 5 mars 1920 att, så länge Överstyrelsen icke i större utsträckning begagnade sig av det genom förenämnda nådiga brev den 17 augusti 1917 givna bemyndigandet än att antalet samtidigt tillkallade sakkunniga uppginge till två eller högst tre, inom eller utom de sakkunnigas krets anlita särskilt biträde för utförande av de redaktionella uppgifter och sekreterargöromål, som i sammanhang med de sakkunnigas arbete kunde visa sig erforderliga.</w:t>
        <w:br/>
        <w:br/>
        <w:t>nades, att till de sakkunniga skulle utgå ersättning med belopp för dag räknat, som funnes angivna i Kungl. Maj:ts den 8 februari 1918 till statskontoret avlåtna brev angående förhöjning av kommittéarvodena, samt att resekostnadsoch traktamentsersättning skulle utgå enligt de för kommittéer och sakkunniga i allmänhet gällande grunder. De till arvoden jämte resekostnadsoch traktamentsersättning åt de sakkunniga erforderliga beloppen skulle av statskontoret utbetalas från förslagsanslaget till kommittéer och utredningar genom sakkunniga.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