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1592</w:t>
      </w:r>
    </w:p>
    <w:p>
      <w:r>
        <w:rPr>
          <w:b/>
        </w:rPr>
        <w:t xml:space="preserve">Datum: </w:t>
      </w:r>
      <w:r>
        <w:t>1923-03-02</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Robert Samuelsson (Sveriges kommunistiska parti, man)</w:t>
      </w:r>
    </w:p>
    <w:p>
      <w:r>
        <w:rPr>
          <w:b w:val="0"/>
        </w:rPr>
        <w:t>Herr talman! Bara ett par ord i anledning av vad herr Lindqvist i Halmstad yttrade.</w:t>
        <w:br/>
        <w:br/>
        <w:t>Jag instämmer till alla delar i vad herr Lindqvist yttrade till förmån för Kungl. Maj:ts förslag. Men vad som förvånade mig var, att det anstånd, varom det här är fråga, icke skulle få gälla även vid dödsfall och olycksfall. Jag är övertygad om att herr Lindqvist inser, att dessa draga med sig så pass stora kostnader, att därigenom motiveras, att respittiden då förlänges. Har man den uppfattningen, att man kan få andra kammaren med på Kungl. Maj:ts förslag — vilket jag hoppas, skall lyckas — då måste man göra sig den frågan: är det något, som hindrar, att de medlemmar, som gå med på Kungl. Maj:ts förslag om anstånd vid arbetslöshet och sjukdom, även skulle vilja vara med därom, då det gäller sådant som olycksfall och dödsfall? Jag är övertygad om att Kungl. Maj:t icke skulle ha något mot detta för egen del, och jag vet, att åtminstone ett statsråd talat med mig om att detta från hans sida icke skulle möta något hinder, ja t. o. m. att det vore önskvärt att detta inrycktes i Kungl. Maj:ts förslag. Jag förmenar därför, att de andrakammarledamöter,</w:t>
        <w:br/>
        <w:br/>
        <w:t>som tänkt att rösta för Kungl. Maj:ts förslag, böra ha all anledning att medtaga dessa fall, nämligen olycksfall och dödsfall.</w:t>
        <w:br/>
        <w:br/>
        <w:t xml:space="preserve">Gent emot </w:t>
      </w:r>
      <w:r>
        <w:rPr>
          <w:b/>
        </w:rPr>
        <w:t>fru²</w:t>
      </w:r>
      <w:r>
        <w:rPr>
          <w:b w:val="0"/>
        </w:rPr>
        <w:t xml:space="preserve"> Östlund ber jag få säga, att jag kanske icke känner Stockholmsförhållandena lika bra som </w:t>
      </w:r>
      <w:r>
        <w:rPr>
          <w:b/>
        </w:rPr>
        <w:t>hon²</w:t>
      </w:r>
      <w:r>
        <w:rPr>
          <w:b w:val="0"/>
        </w:rPr>
        <w:t>. Men går det icke att bereda bostad åt dessa stackars människor, som blivit vräkta under sådana omständigheter, då är det omänskligt att kasta dem på gatan. De äro dock människor. Man måste se till att de icke bliva vräkta, om det icke finnes något krypin att hysa dem 1. Man behöver sålunda icke vara inne i Stockholmsförhållandena för att kunna bedöma denna fråga, utan det kan man göra med stöd av den erfarenhet, som man vunnit på andra håll.</w:t>
        <w:br/>
        <w:br/>
        <w:t>Jag ber, herr talman, att få yrka bifall till vår motion beträf-</w:t>
      </w:r>
    </w:p>
    <w:p>
      <w:pPr>
        <w:pStyle w:val="Heading2"/>
      </w:pPr>
      <w:r>
        <w:t>2. Jakob Pettersson (Liberala riksdagspartiet, man)</w:t>
      </w:r>
    </w:p>
    <w:p>
      <w:r>
        <w:rPr>
          <w:b w:val="0"/>
        </w:rPr>
        <w:t>Herr talman! Jag skall be att få inlägga en liten gensaga mot herr Lindqvists sätt att åberopa socialstyrelsen. Herr Lindqvist läste upp åtskilliga rader ur socialstyrelsens motivering till dess förslag till hyreslag. Han tillade visserligen, att det han läste upp avsåg motiveringen till socialstyrelsens förslag till 7 8, 1 mom. och det stadgande, som där finnes. Men han ansåg, att detta kunde åberopas som stöd även för det andra momentet. Detta går dock enligt min uppfattning alldeles icke för sig. När socialstyrelsen framlade sitt förslag till 7 $, så hade socialstyrelsen också tagit under övervägande möjligheten av att gå längre, men socialstyrelsen betonade, att man ej kunde gå längre med hänsyn till vad man tillika var skyldig i fråga om avvägandet av alla omständigheterna och med hänsyn till att man icke allt för mycket borde inskränka hyresvärdarnas rätt att uthyra lägenheterna till andra personer. Med iakttagande av denna omständighet ansåg sig socialstyrelsen endast kunna föreslå den bestämmelse, som finnes i första momentet, där det är fråga om anstånd på 8, eller om man inräknar tiden, inom vilken utslag skall meddelas, 10 dagar. Men om 7 $, 2 mom. skulle bliva antaget, skulle hyresgästens rätt att disponera över lägenheten kunna utsträckas ända till 30 dagar över förfallodagen, och det är alldeles uppenbart, att hyresvärdens rätt att förfoga över lägenheten bleve väsentligt inskränkt genom en sådan bestämnielse. Man kan sålunda icke åberopa socialstyrelsen, med hänsyn till vad den sagt, till stöd för en sådan bestämmelse, som intagits i andra momentet av denna $.</w:t>
        <w:br/>
        <w:br/>
        <w:t xml:space="preserve">När jag sist hade ordet, kunde jag icke föreställa mig, att redan denna diskussion skulle giva mig bevis för riktigheten av lagrådets och mina farhågor, att en bestämmelse av det innehåll, som angives i 7 $ 2 mom. skulle i stor utsträckning komma att missförstås. Men två föregående talare, herr Samuelsson och </w:t>
      </w:r>
      <w:r>
        <w:rPr>
          <w:b/>
        </w:rPr>
        <w:t>fru²</w:t>
      </w:r>
      <w:r>
        <w:rPr>
          <w:b w:val="0"/>
        </w:rPr>
        <w:t xml:space="preserve"> Östlund, ha i det avseendet råkat ut för missförstånd, som i viss mån giva mig rätt i vad jag sagt. Herr Samuelsson nämnde sålunda i sitt yttrande, att om det blir bestämt, som här föreslagits, nämligen att arbetslösheten skall vara oförvållad eller att sjukdom föreligger, så veta myndigheterna mycket väl, att ömmande omständigheter förefinnas.</w:t>
        <w:br/>
        <w:br/>
        <w:t>På det sättet kommer allmänheten till stor del att fatta lagen, nämligen att när »ömmande omständigheter» föreligga, äro myndigheterna skyldiga att bevilja anstånd. Men så är icke förhållandet. Lagen säger icke något sådant. Denna lag säger, att när myndigheterna finna, att de här omständigheterna — i och för sig äro de Ju alltid ömmande — föreligga, eller, rättare, när synnerliga skäl finnas för att de vållat oförmågan att betala hyran, då kan anstånd medgivas. Men jag antar, att alla myndigheter, som ha att handlägga sådana ansökningar, skola anse, att ofta sådana ömmande omständigheter föreligga.</w:t>
        <w:br/>
        <w:br/>
      </w:r>
      <w:r>
        <w:rPr>
          <w:b/>
        </w:rPr>
        <w:t>Fru²</w:t>
      </w:r>
      <w:r>
        <w:rPr>
          <w:b w:val="0"/>
        </w:rPr>
        <w:t xml:space="preserve"> Östlund sade, att när fabrikerna stå stängda, behöva vi icke resonera om oförvållad arbetslöshet föreligger. Ja, det beror på, om fabrikerna stå stängda på grund av att arbetarna beslutat att icke frivilligt gå dit, ty i sådant fall kan man icke säga, att arbetslösheten är oförvållad.</w:t>
        <w:br/>
        <w:br/>
        <w:t>Jag vidhåller mitt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1592</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