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1596</w:t>
      </w:r>
    </w:p>
    <w:p>
      <w:r>
        <w:rPr>
          <w:b/>
        </w:rPr>
        <w:t xml:space="preserve">Datum: </w:t>
      </w:r>
      <w:r>
        <w:t>1923-04-10</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Elisabeth Tamm (–, woman)</w:t>
      </w:r>
    </w:p>
    <w:p>
      <w:r>
        <w:rPr>
          <w:b w:val="0"/>
        </w:rPr>
        <w:t>Herr förste vice talman, ärade kammarledamöter! Jag skall icke fördrista mig in på den juridiska sidan av detta spörsmål, utan jag har endast velat beröra en principfråga.</w:t>
        <w:br/>
        <w:br/>
        <w:t xml:space="preserve">Det har erinrats om att det föreliggande lagförslaget skulle medföra stora fördelar, särskilt för </w:t>
      </w:r>
      <w:r>
        <w:rPr>
          <w:b/>
        </w:rPr>
        <w:t>kvinnorna¹</w:t>
      </w:r>
      <w:r>
        <w:rPr>
          <w:b w:val="0"/>
        </w:rPr>
        <w:t xml:space="preserve">, och att </w:t>
      </w:r>
      <w:r>
        <w:rPr>
          <w:b/>
        </w:rPr>
        <w:t>kvinnliga¹</w:t>
      </w:r>
      <w:r>
        <w:rPr>
          <w:b w:val="0"/>
        </w:rPr>
        <w:t xml:space="preserve"> sammanslutningar även fått tillfälle att yttra sig, samt att hänsyn tagits till deras önskemål. Detta måste naturligtvis, särskilt från </w:t>
      </w:r>
      <w:r>
        <w:rPr>
          <w:b/>
        </w:rPr>
        <w:t>kvinnohåll¹</w:t>
      </w:r>
      <w:r>
        <w:rPr>
          <w:b w:val="0"/>
        </w:rPr>
        <w:t xml:space="preserve">, väcka allt erkännande. Vad jag nu har velat framhålla är endast en synpunkt, som vid utskottets behandling av detta ärende kommit till uttryck i herrar Lybergs och Hellbergs reservationer, och som lagrådets majoritet tolkat sålunda, att »sedan genom 1917 års äktenskapslagstiftning och 1918—20 års författningsreform den svenska </w:t>
      </w:r>
      <w:r>
        <w:rPr>
          <w:b/>
        </w:rPr>
        <w:t>kvinnan¹</w:t>
      </w:r>
      <w:r>
        <w:rPr>
          <w:b w:val="0"/>
        </w:rPr>
        <w:t xml:space="preserve"> i personligt, förmögenhetsrättsligt och offentligrättsligt avseende nått likställighet med mannen, är det en anakronism att i en lag, som stiftas 1923, kvarhålla </w:t>
      </w:r>
      <w:r>
        <w:rPr>
          <w:b/>
        </w:rPr>
        <w:t>henne²</w:t>
      </w:r>
      <w:r>
        <w:rPr>
          <w:b w:val="0"/>
        </w:rPr>
        <w:t xml:space="preserve"> på ”bipersonens” stadium i statsborgerligt avseende».</w:t>
        <w:br/>
        <w:br/>
        <w:t xml:space="preserve">Då emellertid förslaget genom första kammarens i lördags fattade beslut redan fallit, skall jag inskränka mig till uttalandet av en förhoppning, att i ett kommande förslag till lag om förvärvande och förlust av medborgarrätt den principen måtte bliva grundläggande, att giftermål i och för sig icke har någon verkan i avseende å medborgarskap, men att viss lättnad borde beredas dels för utländsk man, som gifter sig med svensk </w:t>
      </w:r>
      <w:r>
        <w:rPr>
          <w:b/>
        </w:rPr>
        <w:t>kvinna¹</w:t>
      </w:r>
      <w:r>
        <w:rPr>
          <w:b w:val="0"/>
        </w:rPr>
        <w:t xml:space="preserve">, dels för utländsk </w:t>
      </w:r>
      <w:r>
        <w:rPr>
          <w:b/>
        </w:rPr>
        <w:t>kvinna¹</w:t>
      </w:r>
      <w:r>
        <w:rPr>
          <w:b w:val="0"/>
        </w:rPr>
        <w:t xml:space="preserve">, som gifter sig med svensk man, att under vissa betingelser erhålla svenskt medborgarskap, dels för svensk medborgare, man såväl som </w:t>
      </w:r>
      <w:r>
        <w:rPr>
          <w:b/>
        </w:rPr>
        <w:t>kvinna¹</w:t>
      </w:r>
      <w:r>
        <w:rPr>
          <w:b w:val="0"/>
        </w:rPr>
        <w:t>, som ingår äktenskap med utländsk medborgare, att under vissa villkor kunna lösas från sitt svenska medborgarskap.</w:t>
        <w:br/>
        <w:br/>
        <w:t>Herr förste vice talman! Jag ber att få yrka bifall till klämmen i herr Lybergs reservation.</w:t>
      </w:r>
    </w:p>
    <w:p>
      <w:pPr>
        <w:pStyle w:val="Heading2"/>
      </w:pPr>
      <w:r>
        <w:t>2. Martin Andersson (Socialdemokraterna, man)</w:t>
      </w:r>
    </w:p>
    <w:p>
      <w:r>
        <w:rPr>
          <w:b w:val="0"/>
        </w:rPr>
        <w:t>Herr förste vice talman! Det tjänar Ju icke mycket till att ytterligare förlänga denna debatt, då den ju</w:t>
        <w:br/>
        <w:br/>
        <w:t>icke har någon inverkan på frågans utgång, men jag kan ända icke underlåta att säga några få ord.</w:t>
        <w:br/>
        <w:br/>
        <w:t xml:space="preserve">Jag vill därvid konstatera, att detta lagförslag icke har fallit på grund av sina brister i och för sig, utan därför att det gjorts till en </w:t>
      </w:r>
      <w:r>
        <w:rPr>
          <w:b/>
        </w:rPr>
        <w:t>kvinnofråga¹</w:t>
      </w:r>
      <w:r>
        <w:rPr>
          <w:b w:val="0"/>
        </w:rPr>
        <w:t xml:space="preserve">. Från lagrådets sida har framförts vissa erinringar emot den princip, som fasthålles i Kungl. Maj:ts förslag, nämligen att </w:t>
      </w:r>
      <w:r>
        <w:rPr>
          <w:b/>
        </w:rPr>
        <w:t>kvinnan¹</w:t>
      </w:r>
      <w:r>
        <w:rPr>
          <w:b w:val="0"/>
        </w:rPr>
        <w:t xml:space="preserve"> under vissa förhållanden skulle betraktas såsom en biperson. Just detta ord »biperson» tycks fullkomligt hava tagit makten över tanken. Ser man nämligen på hur det i praktiken skulle verka, om </w:t>
      </w:r>
      <w:r>
        <w:rPr>
          <w:b/>
        </w:rPr>
        <w:t>kvinnans¹</w:t>
      </w:r>
      <w:r>
        <w:rPr>
          <w:b w:val="0"/>
        </w:rPr>
        <w:t xml:space="preserve"> medborgarrätt icke på något sätt berördes eller förändrades genom ett giftermål, skall man nog ganska snart finna, att denna </w:t>
      </w:r>
      <w:r>
        <w:rPr>
          <w:b/>
        </w:rPr>
        <w:t>hennes²</w:t>
      </w:r>
      <w:r>
        <w:rPr>
          <w:b w:val="0"/>
        </w:rPr>
        <w:t xml:space="preserve"> fullkomliga självständighet för </w:t>
      </w:r>
      <w:r>
        <w:rPr>
          <w:b/>
        </w:rPr>
        <w:t>henne²</w:t>
      </w:r>
      <w:r>
        <w:rPr>
          <w:b w:val="0"/>
        </w:rPr>
        <w:t xml:space="preserve"> själv medför betydligt mera skada än gagn.</w:t>
        <w:br/>
        <w:br/>
        <w:t xml:space="preserve">För att förtydliga detta skall jag be att få anföra ett exempel, ty jag tror, att det är det bästa sättet att åskådliggöra, vad jag avser. Om en lagstiftning skulle komma till stånd i överensstämmelse med vad lagrådet önskat eller med de önskemål, som uttalas i herrar Lybergs och Hellbergs reservationer, och att sedan en tysk, engelsk eller dansk </w:t>
      </w:r>
      <w:r>
        <w:rPr>
          <w:b/>
        </w:rPr>
        <w:t>kvinna¹</w:t>
      </w:r>
      <w:r>
        <w:rPr>
          <w:b w:val="0"/>
        </w:rPr>
        <w:t xml:space="preserve"> skulle komma hit till Sverige och här gifta sig med en svensk man, skulle </w:t>
      </w:r>
      <w:r>
        <w:rPr>
          <w:b/>
        </w:rPr>
        <w:t>hon²</w:t>
      </w:r>
      <w:r>
        <w:rPr>
          <w:b w:val="0"/>
        </w:rPr>
        <w:t xml:space="preserve"> alltså, om principen om </w:t>
      </w:r>
      <w:r>
        <w:rPr>
          <w:b/>
        </w:rPr>
        <w:t>kvinnans¹</w:t>
      </w:r>
      <w:r>
        <w:rPr>
          <w:b w:val="0"/>
        </w:rPr>
        <w:t xml:space="preserve"> absoluta självständighet bifölles, icke därmed vinna svenskt medborgarskap. Jag vill omedelbart säga, att de bestämmelser, som reservanterna ha förordat i syfte att bereda dessa </w:t>
      </w:r>
      <w:r>
        <w:rPr>
          <w:b/>
        </w:rPr>
        <w:t>kvinnor¹</w:t>
      </w:r>
      <w:r>
        <w:rPr>
          <w:b w:val="0"/>
        </w:rPr>
        <w:t xml:space="preserve"> lättnader vid naturalisation, icke ha så synnerligen stor betydelse. I de allra flesta fall komma personerna i fråga nämligen icke att tänka på denna möjlighet till naturalisation, förrän de råka i ett nödläge, då det svenska medborgarskapet skulle vara önskvärt för dem, och då är det sannolikt för sent. Jag förutsätter sålunda, att dessa </w:t>
      </w:r>
      <w:r>
        <w:rPr>
          <w:b/>
        </w:rPr>
        <w:t>kvinnor¹</w:t>
      </w:r>
      <w:r>
        <w:rPr>
          <w:b w:val="0"/>
        </w:rPr>
        <w:t xml:space="preserve"> icke genom giftermålet vinna svenskt medborgarskap, men i och med sitt giftermål förlora de sitt hemlands medborgarskap, d. v. s. de bli medborgarrättslösa. Om man nu strikt skulle följa såväl denna lag som lagen om utlänningars vistelse i riket, skulle, om en sådan </w:t>
      </w:r>
      <w:r>
        <w:rPr>
          <w:b/>
        </w:rPr>
        <w:t>kvinna¹</w:t>
      </w:r>
      <w:r>
        <w:rPr>
          <w:b w:val="0"/>
        </w:rPr>
        <w:t xml:space="preserve"> efter några år bleve </w:t>
      </w:r>
      <w:r>
        <w:rPr>
          <w:b/>
        </w:rPr>
        <w:t>änka²</w:t>
      </w:r>
      <w:r>
        <w:rPr>
          <w:b w:val="0"/>
        </w:rPr>
        <w:t xml:space="preserve">, resultatet bli, att </w:t>
      </w:r>
      <w:r>
        <w:rPr>
          <w:b/>
        </w:rPr>
        <w:t>hon²</w:t>
      </w:r>
      <w:r>
        <w:rPr>
          <w:b w:val="0"/>
        </w:rPr>
        <w:t xml:space="preserve"> måste utvisas från landet, om </w:t>
      </w:r>
      <w:r>
        <w:rPr>
          <w:b/>
        </w:rPr>
        <w:t>hon²</w:t>
      </w:r>
      <w:r>
        <w:rPr>
          <w:b w:val="0"/>
        </w:rPr>
        <w:t xml:space="preserve"> icke har förutsättning att här sörja för sitt uppehälle. Hade </w:t>
      </w:r>
      <w:r>
        <w:rPr>
          <w:b/>
        </w:rPr>
        <w:t>hon²</w:t>
      </w:r>
      <w:r>
        <w:rPr>
          <w:b w:val="0"/>
        </w:rPr>
        <w:t xml:space="preserve"> några barn i äktenskapet, voro dessa på grund av bestämmelsen i $ 1 svenska medborgare. Dessa barn finge sålunda stanna här i riket, men modern skulle, om man handlade juste, utvisas till sitt hemland. Där hade </w:t>
      </w:r>
      <w:r>
        <w:rPr>
          <w:b/>
        </w:rPr>
        <w:t>hon²</w:t>
      </w:r>
      <w:r>
        <w:rPr>
          <w:b w:val="0"/>
        </w:rPr>
        <w:t xml:space="preserve"> emellertid icke heller medborgarrätt och barnen skulle i varje fall icke mottagas i </w:t>
      </w:r>
      <w:r>
        <w:rPr>
          <w:b/>
        </w:rPr>
        <w:t>hennes²</w:t>
      </w:r>
      <w:r>
        <w:rPr>
          <w:b w:val="0"/>
        </w:rPr>
        <w:t xml:space="preserve"> hemland, då de ju voro svenska medborgare, och de givetvis icke kunde mottagas i ett annat land under annan förutsättning, än att de hade möjlighet att försörja sig.</w:t>
        <w:br/>
        <w:br/>
        <w:t xml:space="preserve">Jag tror sålunda icke, att man vinner synnerligen mycket ur </w:t>
      </w:r>
      <w:r>
        <w:rPr>
          <w:b/>
        </w:rPr>
        <w:t>kvinnosynpunkt¹</w:t>
      </w:r>
      <w:r>
        <w:rPr>
          <w:b w:val="0"/>
        </w:rPr>
        <w:t xml:space="preserve"> genom att gå den väg, som reservanterna herrar Lyberg och Hellberg jämte lagrådet ha förordat. Den lösning av frågan däremot, som utskottet har föreslagit, är enligt mitt förmenande det längsta, man för närvarande kan gå. Genom denna anordning skulle </w:t>
      </w:r>
      <w:r>
        <w:rPr>
          <w:b/>
        </w:rPr>
        <w:t>kvinnans¹</w:t>
      </w:r>
      <w:r>
        <w:rPr>
          <w:b w:val="0"/>
        </w:rPr>
        <w:t xml:space="preserve"> självständighet bevaras i alla de fall, där </w:t>
      </w:r>
      <w:r>
        <w:rPr>
          <w:b/>
        </w:rPr>
        <w:t>hon²</w:t>
      </w:r>
      <w:r>
        <w:rPr>
          <w:b w:val="0"/>
        </w:rPr>
        <w:t xml:space="preserve"> har rättighet att behålla sitt hemlands medborgarskap, detta under för-</w:t>
        <w:br/>
        <w:br/>
        <w:t xml:space="preserve">utsättning att </w:t>
      </w:r>
      <w:r>
        <w:rPr>
          <w:b/>
        </w:rPr>
        <w:t>hon²</w:t>
      </w:r>
      <w:r>
        <w:rPr>
          <w:b w:val="0"/>
        </w:rPr>
        <w:t xml:space="preserve"> icke tager hemvist här i landet. Om en svensk man 1 utlandet gifter sig med en utländsk </w:t>
      </w:r>
      <w:r>
        <w:rPr>
          <w:b/>
        </w:rPr>
        <w:t>kvinna¹</w:t>
      </w:r>
      <w:r>
        <w:rPr>
          <w:b w:val="0"/>
        </w:rPr>
        <w:t xml:space="preserve">, skulle </w:t>
      </w:r>
      <w:r>
        <w:rPr>
          <w:b/>
        </w:rPr>
        <w:t>hon²</w:t>
      </w:r>
      <w:r>
        <w:rPr>
          <w:b w:val="0"/>
        </w:rPr>
        <w:t xml:space="preserve"> icke därmed utan vidare vinna svenskt medborgarskap, utan </w:t>
      </w:r>
      <w:r>
        <w:rPr>
          <w:b/>
        </w:rPr>
        <w:t>hon²</w:t>
      </w:r>
      <w:r>
        <w:rPr>
          <w:b w:val="0"/>
        </w:rPr>
        <w:t xml:space="preserve"> vunne detta först i och med att </w:t>
      </w:r>
      <w:r>
        <w:rPr>
          <w:b/>
        </w:rPr>
        <w:t>hon²</w:t>
      </w:r>
      <w:r>
        <w:rPr>
          <w:b w:val="0"/>
        </w:rPr>
        <w:t xml:space="preserve"> förlorade sitt utländska medborgarskap. Hela arbetet i utskottet har för övrigt inriktat sig på att förebygga såväl medborgarrättslöshet som dubbelmedborgarskap. Enligt den formulering, som utskottet givit åt $ 3, tror jag, att man vunnit ganska mycket i det avseendet, och att man därmed också fått likformighet mellan 3 och 8 $$.</w:t>
        <w:br/>
        <w:br/>
        <w:t xml:space="preserve">Jag skulle ytterligare vilja säga några ord rörande den sak, som icke tidigare här har berörts, och där verkligen </w:t>
      </w:r>
      <w:r>
        <w:rPr>
          <w:b/>
        </w:rPr>
        <w:t>kvinnorna¹</w:t>
      </w:r>
      <w:r>
        <w:rPr>
          <w:b w:val="0"/>
        </w:rPr>
        <w:t xml:space="preserve"> borde ha ett stort intresse att bevaka. Det gäller frågan om barnens ställning i medborgarrättsligt hänseende. Det föreliggande lagförslaget bygger ju på samma princip som vår äldre lagstiftning liksom lagstiftningen i alla de länder, som fortfarande bygga sina medborgarlagar på statsborgarprincipen, nämligen därpå, att barnen alltid förvärva faderns medborgarskap. Här skulle verkligen finnas ett intresse för </w:t>
      </w:r>
      <w:r>
        <w:rPr>
          <w:b/>
        </w:rPr>
        <w:t>kvinnorna¹</w:t>
      </w:r>
      <w:r>
        <w:rPr>
          <w:b w:val="0"/>
        </w:rPr>
        <w:t xml:space="preserve"> att bevaka, men den sidan av saken har icke upptagits vare sig i herr Lybergs eller i herr Hellbergs reservation och ej heller i lagrådets yttrande. Den enda, som påpekat denna sak, är herr Reuterskiöld, som i sin reservation, i vad den berör $ 1, har pekat på en utväg, som även jag skulle vilja fästa uppmärksamheten vid. Jag vill därvid säga, att herr Reuterskiöld icke varit ensam om den principiella ståndpunkt han där framför, utan har haft många anhängare 1 utskottet, men då man gick till att utforma lagtexten, visade den sig medföra många svårigheter. Herr Reuterskiöld har påyrkat, att därest föräldrarna äro av skild nationalitet, skall domicilprincipen fälla utslaget om barnens medborgarställning, och jag tror, att detta är en väg, som bör undersökas. Jag är dock visst icke blind för att en sådan bestämmelse i vissa fall skulle medföra dubbelt medborgarskap och i andra fall medborgarrättslöshet. Då emellertid hela frågan nu går tillbaka till Kungl. Maj:t för ny utredning. skulle jag vilja uttala det önskemålet, att även den sidan av saken toges under närmare omprövning.</w:t>
        <w:br/>
        <w:br/>
        <w:t>Ja, herr förste vice talman, jag skall icke vidare upptaga tiden, utan jag vill endast till slut uttala den önskan och den förhoppningen, att det icke måtte dröja alltför länge, innan denna fråga återigen kommer upp till behandling. Den nuvarande lagen om medborgarrätt är ganska föråldrad — särskilt har ju den s. k. tioårslagen visat sig mycket olycklig — men även i många andra avseenden skulle lagen behöva undergå en förändring. Det är därför min varma förhoppning, att det icke skall dröja alltför länge, innan frågan återigen skall föreligga till riksdagens behandling, och jag hoppas, att detta skall ske med en lyckligare utgång, än vad nu blivit fallet.</w:t>
        <w:br/>
        <w:br/>
        <w:t>Vad beträffar den föreliggande paragrafen, ber jag, herr förste vice talman, att få yrka bifall till utskottets hemställan.</w:t>
      </w:r>
    </w:p>
    <w:p>
      <w:pPr>
        <w:pStyle w:val="Heading2"/>
      </w:pPr>
      <w:r>
        <w:t>3. Per Pehrsson (Nationella framstegspartiet, man)</w:t>
      </w:r>
    </w:p>
    <w:p>
      <w:r>
        <w:rPr>
          <w:b w:val="0"/>
        </w:rPr>
        <w:t>Herr förste vice talman, mina damer och herrar! Då riksdagen begärde ändringar av bestämmelserna i</w:t>
        <w:br/>
        <w:br/>
        <w:t>fråga om svenskt medborgarskap, skedde detta närmast med anledning av tioårslagen, såsom också från olika håll i dag har påpekats. Jag beklagar djupt, att lagförslaget nu har fallit, då de förhållanden, som äro förbundna med den nuvarande lagstiftningen, äro synnerligen olyckliga för ett stort antal i utlandet bosatta, svenskfödda personer. Jag har haft tillfälle att i »Riksförbundet för svenskhetens bevarande i utlandet» taga del av, hur de nuvarande bestämmelserna verkat under de sista årens svåra och farliga tid. Det har varit svårigheter att få pass och svårigheter att kunna legitimera slö, och detta har vållat dessa svenskar som genom 10-årslagen blivit medborgarrättslösa mycket bekymmer. Jag vill också erinra om att de i regel varit i detta läge utan att veta om det. Först då förhållandena ha krävt en legitimering, ha de upptäckt, att det finns en svensk lag, som stadgar, att efter tio år är en i utlandet vistande svensk, som icke på särskilt sätt har gjort några ansträngningar för att få behålla sitt medborgarskap, icke längre svensk statsborgare: Detta har — låt mig också säga det — vållat mycken bitterhet mot det gamla landet, och det är icke lyckligt för oss svenskar, att sådana förhållanden göra sig gällande där ute. Detta missförhållande skulle = ha blivit helt och hållet avhjälpt genom det i år framlagda förslaget.</w:t>
        <w:br/>
        <w:br/>
        <w:t xml:space="preserve">Det finns emellertid även en annan sak, som jag i samband därmed skulle vilja peka på, och det är bestämmelserna i $ 8 i lagen. De stå i så nära sammanhang med $ 3, att man icke kan tala om den ena utan att vidröra den andra. Det har i denna paragraf gjorts en avvikelse från själva huvudtanken i den kungl. propositionen, att </w:t>
      </w:r>
      <w:r>
        <w:rPr>
          <w:b/>
        </w:rPr>
        <w:t>kvinna¹</w:t>
      </w:r>
      <w:r>
        <w:rPr>
          <w:b w:val="0"/>
        </w:rPr>
        <w:t xml:space="preserve"> i äktenskapet alltid följer mannen i medborgarrättsligt avseende, i det att enligt förslaget svensk </w:t>
      </w:r>
      <w:r>
        <w:rPr>
          <w:b/>
        </w:rPr>
        <w:t>kvinna¹</w:t>
      </w:r>
      <w:r>
        <w:rPr>
          <w:b w:val="0"/>
        </w:rPr>
        <w:t xml:space="preserve">, som har gift sig med utländsk man, skall behålla sitt svenska medborgarskap, så länge </w:t>
      </w:r>
      <w:r>
        <w:rPr>
          <w:b/>
        </w:rPr>
        <w:t>hon²</w:t>
      </w:r>
      <w:r>
        <w:rPr>
          <w:b w:val="0"/>
        </w:rPr>
        <w:t xml:space="preserve"> kvarstannar i hemlandet. Jag har haft tillfälle att i ett ganska stort antal fall se, i vilka stora svårigheter svenska </w:t>
      </w:r>
      <w:r>
        <w:rPr>
          <w:b/>
        </w:rPr>
        <w:t>kvinnor¹</w:t>
      </w:r>
      <w:r>
        <w:rPr>
          <w:b w:val="0"/>
        </w:rPr>
        <w:t>, som varit gifta med utländska medborgare i vårt land, ha kommit under de sista åren, exempelvis därigenom att mannen, hemkallad av sitt hemland, har fallit i kriget. Jag beklagar därför djupt, att förslaget har fallit, och jag begärde närmast ordet just för att få stryka under vad här ifrån flera håll har betonats, nämligen att det är nödvändigt att dessa frågor snarligen komma upp under ny behandling, så att man just från dessa båda av mig nu anförda synpunkter kommer till ett tillfredsställande resultat.</w:t>
        <w:br/>
        <w:br/>
        <w:t xml:space="preserve">Jag skall också tillåta mig att säga några ord om den paragraf, som nu närmast är före, nämligen 8 3. Det är alldeles givet, att man i detta Kungl. Maj:ts förslag, som av oss reservanter i huvudsak upptagits, kan påpeka vissa inkonsekvenser, men det beror därpå, att man har velat lägga saken så praktiskt och för svenska medborgare så fördelaktigt som möjligt. Här föreligga tre olika linjer. Den ena linjen är den, som företrädes i den av herr Lyberg avgivna reservationen, och till vilken en ärad talarinna här i kammaren har anslutit sig, dock med en mycket bestämd önskan, att lättnader skulle beredas för utländsk </w:t>
      </w:r>
      <w:r>
        <w:rPr>
          <w:b/>
        </w:rPr>
        <w:t>kvinna¹</w:t>
      </w:r>
      <w:r>
        <w:rPr>
          <w:b w:val="0"/>
        </w:rPr>
        <w:t>, som gifter sig med svensk man, att kunna för-</w:t>
        <w:br/>
        <w:br/>
        <w:t xml:space="preserve">värva svensk medborgarrätt. Den andra är utskottets linje, som ligger emellan, och den tredje reservanternas, som fasthålla vid Kungl. Maj:ts förslag, och som vilja bibehålla principen om att utländsk </w:t>
      </w:r>
      <w:r>
        <w:rPr>
          <w:b/>
        </w:rPr>
        <w:t>kvinna¹</w:t>
      </w:r>
      <w:r>
        <w:rPr>
          <w:b w:val="0"/>
        </w:rPr>
        <w:t xml:space="preserve"> utan vidare genom giftermål förvärvar svenskt medborgarskap liksom efter den lagstiftning, som för närvarande är gällande.</w:t>
        <w:br/>
        <w:br/>
        <w:t xml:space="preserve">Jag vill då med glädje instämma i den siste ärade talarens förträffliga ord om de svårigheter, som skulle följa av att man ginge på den av lagrådet anvisade vägen, som här företrätts av </w:t>
      </w:r>
      <w:r>
        <w:rPr>
          <w:b/>
        </w:rPr>
        <w:t>fröken²</w:t>
      </w:r>
      <w:r>
        <w:rPr>
          <w:b w:val="0"/>
        </w:rPr>
        <w:t xml:space="preserve"> Tamm och reservanten Lyberg. Den skulle säkerligen medföra, att i åtskilliga fall medborgarrättslöshet skulle uppkomma. Det skulle helt säkert också bli en mycket underlig överraskning för svenskar, som gift sig med utländskor, att upptäcka, att familjens enhet, som lider obestridligt intrång av de olika medborgarskapen, för mannen och barnen å ena sidan och </w:t>
      </w:r>
      <w:r>
        <w:rPr>
          <w:b/>
        </w:rPr>
        <w:t>hustrun²</w:t>
      </w:r>
      <w:r>
        <w:rPr>
          <w:b w:val="0"/>
        </w:rPr>
        <w:t xml:space="preserve"> å den andra, på detta sätt skulle brytas. Det är just från synpunkten av familjens enhet och med betonande av de praktiska synpunkter, som jag förut talat om, som jag icke kan vara med därom, utan ansluter mig till den reservation, som är avgiven av herr Clason m. fl.</w:t>
        <w:br/>
        <w:br/>
        <w:t xml:space="preserve">Visserligen är det icke formellt yttre analogi emellan 3 och 8 $$. Men jag vill erinra om att det är djup inre överensstämmelse, ty i 8 $ skyddas svensk </w:t>
      </w:r>
      <w:r>
        <w:rPr>
          <w:b/>
        </w:rPr>
        <w:t>kvinna¹</w:t>
      </w:r>
      <w:r>
        <w:rPr>
          <w:b w:val="0"/>
        </w:rPr>
        <w:t>, och i 3 $ skyddas svensk man och svenska barn. Det är, såsom av den förste ärade talaren påpekades, vid rättsfrågor av allehanda art, som detta har betydelse.</w:t>
        <w:br/>
        <w:br/>
        <w:t xml:space="preserve">Genom utskottets förslag, som går en medelväg, är det så ställt, att om en svensk man i utlandet gift sig med en </w:t>
      </w:r>
      <w:r>
        <w:rPr>
          <w:b/>
        </w:rPr>
        <w:t>kvinna¹</w:t>
      </w:r>
      <w:r>
        <w:rPr>
          <w:b w:val="0"/>
        </w:rPr>
        <w:t xml:space="preserve">, som trots giftermålet får behålla sin medborgarrätt enligt det landets lag, så blir </w:t>
      </w:r>
      <w:r>
        <w:rPr>
          <w:b/>
        </w:rPr>
        <w:t>hon²</w:t>
      </w:r>
      <w:r>
        <w:rPr>
          <w:b w:val="0"/>
        </w:rPr>
        <w:t xml:space="preserve"> icke svensk medborgare. Det kommer att för många kännas rent av upprörande att få denna sprängkil inriktad i äktenskapet. Det är nu Belgien och Amerika både Nordoch Sydamerika -— som ha en sådan lagstiftning. Dessa länder skydda sålunda sitt lands </w:t>
      </w:r>
      <w:r>
        <w:rPr>
          <w:b/>
        </w:rPr>
        <w:t>kvinnor¹</w:t>
      </w:r>
      <w:r>
        <w:rPr>
          <w:b w:val="0"/>
        </w:rPr>
        <w:t xml:space="preserve"> på samma sätt som detta lagförslag genom 8 $ avser att skydda svenska </w:t>
      </w:r>
      <w:r>
        <w:rPr>
          <w:b/>
        </w:rPr>
        <w:t>kvinnor¹</w:t>
      </w:r>
      <w:r>
        <w:rPr>
          <w:b w:val="0"/>
        </w:rPr>
        <w:t xml:space="preserve">. Men icke synes det mig, som om vi för att få en formell analogi emellan dessa båda paragrafer behövde släppa de rent svenska synpunkterna — jag ber att icke bli missförstådd — eller snarare de svenska intressen, som därigenom bevakas. Vi kunna icke heller finna det lämpligt, att den principen brytes, utan att verkligt nödtvång föreligger, att </w:t>
      </w:r>
      <w:r>
        <w:rPr>
          <w:b/>
        </w:rPr>
        <w:t>mor²</w:t>
      </w:r>
      <w:r>
        <w:rPr>
          <w:b w:val="0"/>
        </w:rPr>
        <w:t xml:space="preserve"> och barn i medborgarhänseende böra höra till samma land.</w:t>
        <w:br/>
        <w:br/>
        <w:t xml:space="preserve">Man har talat om att reservanternas förslag medför dubbelt medborgarskap. Och jag är övertygad om, att det kan i vissa fall, alldeles som nu, göra detta. Men jag vill då erinra om, att, när det gäller </w:t>
      </w:r>
      <w:r>
        <w:rPr>
          <w:b/>
        </w:rPr>
        <w:t>kvinnan¹</w:t>
      </w:r>
      <w:r>
        <w:rPr>
          <w:b w:val="0"/>
        </w:rPr>
        <w:t xml:space="preserve">, betyder detta ganska litet, då </w:t>
      </w:r>
      <w:r>
        <w:rPr>
          <w:b/>
        </w:rPr>
        <w:t>hon²</w:t>
      </w:r>
      <w:r>
        <w:rPr>
          <w:b w:val="0"/>
        </w:rPr>
        <w:t xml:space="preserve"> icke har någon värnplikt att fullgöra. Det är denna omständighet, som gör det dubbla medborgarskapet för en man så svårt. Men det kommer ju icke i fråga för en </w:t>
      </w:r>
      <w:r>
        <w:rPr>
          <w:b/>
        </w:rPr>
        <w:t>kvinna¹</w:t>
      </w:r>
      <w:r>
        <w:rPr>
          <w:b w:val="0"/>
        </w:rPr>
        <w:t xml:space="preserve">. Och dubbelt medborgarskap är dock en mycket liten svårighet gent emot de stora svårigheter, som äro förenade med den medborgarskapslöshet, som uppenbarligen måste följa av den av </w:t>
      </w:r>
      <w:r>
        <w:rPr>
          <w:b/>
        </w:rPr>
        <w:t>fröken²</w:t>
      </w:r>
      <w:r>
        <w:rPr>
          <w:b w:val="0"/>
        </w:rPr>
        <w:t xml:space="preserve"> Tamm förordade linjen.</w:t>
        <w:br/>
        <w:br/>
        <w:t>Herr talman! Det synes mig, i motsats mot den ärade talaren</w:t>
        <w:br/>
        <w:br/>
        <w:t>på Norrlandsbänken, som om vi icke böra taga allt för mycken hänsyn till de mellanfolkliga synpunkterna, till samarbetssynpunkten i detta fall, utan att vi böra låta våra egna intressen vara det, som dikterar den svenska lagstiftningen. Så har man gjort i de tre länder, jag nyss nämnde, och det synes mig, som om det vore den enda naturliga vägen också för oss att gå.</w:t>
        <w:br/>
        <w:br/>
        <w:t xml:space="preserve">Med de orden, herr talman, och med understrykande och betonande än ytterligare av nödvändigheten av att vi få denna fråga, i vad det gäller tioårslagen och de med utlänningar i Sverige gifta svenska </w:t>
      </w:r>
      <w:r>
        <w:rPr>
          <w:b/>
        </w:rPr>
        <w:t>kvinnorna¹</w:t>
      </w:r>
      <w:r>
        <w:rPr>
          <w:b w:val="0"/>
        </w:rPr>
        <w:t>, som 8 $ talar om, snarligen löst, ber jag att få yrka bifall till ifrågavarande 3 $ i enlighet med den av herr Clason m. fl. avgivna reservationen.</w:t>
      </w:r>
    </w:p>
    <w:p>
      <w:pPr>
        <w:pStyle w:val="Heading2"/>
      </w:pPr>
      <w:r>
        <w:t>4. Nils Eden (Liberala riksdagspartiet, man)</w:t>
      </w:r>
    </w:p>
    <w:p>
      <w:r>
        <w:rPr>
          <w:b w:val="0"/>
        </w:rPr>
        <w:t>Herr talman! Jag har nöjet att instämma med den föregående ärade talaren i den allra sista delen av hans anförande. Även jag anser det vara av stor vikt, att den s. k. tioårslagen avskaffas och att de olägenheter, som därmed varit förbundna sålunda undanröjas. Men jag kan icke rätt förstå, att ett sådant syfte skulle på något sätt befordras vare sig av ett bifall till utskottets förslag eller genom ett bifall till den ärade talarens reservation.</w:t>
        <w:br/>
        <w:br/>
        <w:t>Frågan ligger ju nu faktiskt på det sättet, att hela detta lagförslag för denna riksdag är förfallet genom första kammarens bheslut. Om det hade varit så, att vi i denna stund kunnat gå till behandling av frågan med utsikt att få ett resultat, så kan jag ju få säga, att jag för min del skulle, trots vissa allvarliga betänkligheter, hava varit böjd att dock så långt det varit möjligt ansluta mig till utskottets förslag eller bygga på detta. Men det kunna vi nu icke. Vi få icke något resultat genom en dylik behandling. Frågan är redan fallen. Och då skall jag be att till kammaren få rikta det spörsmålet, om verkligen kammarens ledamöter för sig själva känna sig vara riktigt färdiga med att ta ståndpunkt till detta förslag på ett sådant sätt, som skulle innebäras i vare sig ett bifall till utskottets förslag eller ett bifall till den av herr Pehrsson förordade reservationen. Saken är ju i själva verket den, att om kammaren skulle fatta ett dylikt beslut, så kunde det endast ifrån kammarens sida innebära en opinionsyttring, såsom det också nyss här kallats. Opinionsyttringar äro utan tvivel många gånger berättigade, men i det här fallet tror jag verkligen icke, att kammarens ledamöter äro klara med att de vilja ge en opinionsyttring för en viss riktning rörande det nya förslag, som ändock måste framläggas. Eller — var och en gånge till sig själv — huru många är det, som hava fullt klargjort sig skillnaden mellan utskottets förslag och de olika reservationerna — jag frånser då de reservationer, som gå på avslag? Huru många är det, som verkligen hava klart för sig, att en opinionsyttring för den ena eller andra av de två nämnda linjerna är just ett uttryck för den riktning, i vilken man vill ha den nya lagstiftningen? Jag tror icke, att här föreligger grundval för en sådan opinionsyttring. Saken är ju icke på minsta sätt partipolitisk eller partibetonad, och man kan därför tala om den utan att löpa risk att missförstås i</w:t>
        <w:br/>
        <w:br/>
        <w:t>det avseendet. Vad jag vill framhålla är, att jag icke tror, att det finnes tillräcklig grund för andra kammaren att efter utgången av ärendet i första kammaren gå och binda sig för eller taga ståndpunkt till den ena eller den andra av de omstridda linjer, som bygga på Kungl. Maj:ts förslag.</w:t>
        <w:br/>
        <w:br/>
        <w:t xml:space="preserve">Under sådana förhållanden, herr talman, kan jag icke finna annat, än att det riktiga är att ansluta sig till det yrkande, som framställts av </w:t>
      </w:r>
      <w:r>
        <w:rPr>
          <w:b/>
        </w:rPr>
        <w:t>fröken²</w:t>
      </w:r>
      <w:r>
        <w:rPr>
          <w:b w:val="0"/>
        </w:rPr>
        <w:t xml:space="preserve"> Tamm. Detta yrkande innehåller ingenting annat än ett bifall till klämmen i herr Lybergs reservation, som är densamma som klämmen i herr Reuterskiölds reservation och i herr Hellbergs reservation. Det är detta yrkande, som bifallits av första kammaren. Till det yrkandet hava anslutit sig personer ur olika läger, bland annat en synnerligen framstående jurist, framstående icke minst på den internationella rättens område. Och jag kan icke se annat, än att det också för oss här i kammaren skulle vara bäst att icke binda våra händer hårdare än genom ett bifall till denna kläm. Motiveringarna äro redan borta genom första kammarens beslut, och någon motivering skulle sålunda icke ingå i detta yrkande.</w:t>
        <w:br/>
        <w:br/>
        <w:t>Det är givet, att detta är en svaghet. Man kan alltid anmärka och har förmodligen redan anmärkt, att då får Kungl. Maj:t ju icke någonting att rätta sig efter vid framläggandet av det nya förslaget. Jag tror dock, att vi få säga, att Kungl. Maj:t får icke alls mera att rätta sig efter, om vi här gå till några voteringar mellan utskottets förslag å ena sidan och den av herr Pehrsson förordade reservationen å andra sidan, voteringar, som skulle återkomma vid paragraf efter paragraf och vilkas utgång säkerligen skulle komma att bero på tillfälligheter.</w:t>
        <w:br/>
        <w:br/>
        <w:t xml:space="preserve">Icke heller tror jag, att kammaren är beredd att stå för att anvisningen för Kungl. Maj:t skulle vara just det, som innehålles exempelvis i utskottets förslag. Anvisningen till Kungl. Maj:t vid ett bifall till klämmen i herr Lybergs reservation ligger givetvis i den debatt, som blivit förd dels i denna kammare och dels i första kammaren. Och anvisningen skulle, såvitt jag kan finna, åtminstone sägas innebära det, att dels Kungl. Maj:t söker så snart sig någonsin göra låter upptaga frågan om avskaffande av tioårslagen, som ju är den egentliga anledningen till att denna fråga uppkom, och dels Kungl. Maj:t vid prövningen av de övriga delarna av denna invecklade lagfråga ville lägga på dessa delar den synpunkten, att gifta </w:t>
      </w:r>
      <w:r>
        <w:rPr>
          <w:b/>
        </w:rPr>
        <w:t>kvinnor¹</w:t>
      </w:r>
      <w:r>
        <w:rPr>
          <w:b w:val="0"/>
        </w:rPr>
        <w:t xml:space="preserve"> på grund av hela sin rättsställning efter nuvarande svensk lagstiftning icke rimligen kunna behandlas som sådana bipersoner i fråga om statsborgarskap, som skett genom det här föreliggande förslaget. Att därav icke skulle behöva följa någon sådan konsekvens, som jag tror herr Martin Andersson anförde, det känner jag mig fullt viss om. Lagrådets ståndpunkt i den delen behöver visst icke förhindra, att man, såsom </w:t>
      </w:r>
      <w:r>
        <w:rPr>
          <w:b/>
        </w:rPr>
        <w:t>fröken²</w:t>
      </w:r>
      <w:r>
        <w:rPr>
          <w:b w:val="0"/>
        </w:rPr>
        <w:t xml:space="preserve"> Tamm redan har påpekat, underlättar för utländsk </w:t>
      </w:r>
      <w:r>
        <w:rPr>
          <w:b/>
        </w:rPr>
        <w:t>kvinna¹</w:t>
      </w:r>
      <w:r>
        <w:rPr>
          <w:b w:val="0"/>
        </w:rPr>
        <w:t xml:space="preserve">, gift med svensk man, förvärvandet av svensk medborgarrätt. Men vad man vill förhindra är, att </w:t>
      </w:r>
      <w:r>
        <w:rPr>
          <w:b/>
        </w:rPr>
        <w:t>hon²</w:t>
      </w:r>
      <w:r>
        <w:rPr>
          <w:b w:val="0"/>
        </w:rPr>
        <w:t xml:space="preserve"> utan vidare skall få en sådan medborgarrätt och sålunda behandlas såsom en</w:t>
        <w:br/>
        <w:br/>
        <w:t>osjälvständig biperson, även med de inskränkningar, som utskottet för sin del föreslagit.</w:t>
        <w:br/>
        <w:br/>
        <w:t xml:space="preserve">Herr talman! Jag skall icke gå in 1 någon detaljdiskussion av ärendet det tjänar icke mycket till. Jag framhåller än en gång huvudsynpunkten, nämligen att jag verkligen icke tror, att kammaren är beredd att taga ståndpunkt i denna sak på det sätt, som den skulle göra genom ett bifall till vare sig det ena eller det andra yrkandet om viss lagtext. Jag tror, att saken icke därmed befordras, och jag tror, att kammaren själv har fördel av att bevara de fria händer, som den bevarar, om den bifaller </w:t>
      </w:r>
      <w:r>
        <w:rPr>
          <w:b/>
        </w:rPr>
        <w:t>fröken²</w:t>
      </w:r>
      <w:r>
        <w:rPr>
          <w:b w:val="0"/>
        </w:rPr>
        <w:t xml:space="preserve"> Tamms yrkande. Jag instämmer i detta yrkande.</w:t>
      </w:r>
    </w:p>
    <w:p>
      <w:pPr>
        <w:pStyle w:val="Heading2"/>
      </w:pPr>
      <w:r>
        <w:t>5. August Sävström (Socialdemokraterna, man)</w:t>
      </w:r>
    </w:p>
    <w:p>
      <w:r>
        <w:rPr>
          <w:b w:val="0"/>
        </w:rPr>
        <w:t xml:space="preserve">Herr talman! Efter herr Edéns yttrande att en kommande regering utav den debatt, som förts i kamrarna, skulle kunna sluta sig till vad riksdagen i detta fall önskar, och då herr Edén här har så starkt betonat den motivering, som herr Lyberg givit i sin reservation och som jag förmodar även </w:t>
      </w:r>
      <w:r>
        <w:rPr>
          <w:b/>
        </w:rPr>
        <w:t>fröken²</w:t>
      </w:r>
      <w:r>
        <w:rPr>
          <w:b w:val="0"/>
        </w:rPr>
        <w:t xml:space="preserve"> Tamm för sin del gillar, d. v. s. den som går ut på att här tillkämpa sig </w:t>
      </w:r>
      <w:r>
        <w:rPr>
          <w:b/>
        </w:rPr>
        <w:t>kvinnans¹</w:t>
      </w:r>
      <w:r>
        <w:rPr>
          <w:b w:val="0"/>
        </w:rPr>
        <w:t xml:space="preserve"> fullständiga likställighet på detta område, som är så angeläget för herr Lyberg i detta avseende, så vill jag säga, att jag för min del ingalunda går med på en sådan motivering. Jag anser, att det förslag utskottet kommit till är en medelväg, som är lämplig för vårt land. Det är icke alla länder, som kommit lika långt som Amerika och Belgien gjort på detta område, det finns länder, som stå långt efter i detta avseende, och om det skall bliva till verkligt gagn för samhällets medborgare i vårt land, tror jag det för närvarande skulle vara lyckligast att få ett bifall till utskottets förslag i denna punkt.</w:t>
        <w:br/>
        <w:br/>
        <w:t>Beträffande den s. k. tioårslagen vill jag säga, att det är ett enkelt sätt för en regering att framlägga förslag om upphävande av denna, men man kan fråga sig: är detta tillräckligt? Det är klart, att när ett förslag skall framläggas på detta område, bör man väl ändock taga någon hänsyn till den utveckling som skett och icke stanna vid endast 10-årslagen, ty längre hava vi ändock verkligen kommit.</w:t>
        <w:br/>
        <w:br/>
        <w:t>Som jag sade. har jag intet annat yrkande än om bifall till utskottets förslag, och jag vill endast betona, att det för mig gör detsamma, på vilket sätt det går men om en regering skall ur debatten försöka få fram en mening av riksdagens beslut, vill jag tillkännage, att iag för min del icke delar den mening, som herr Edén nyligen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1596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