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457</w:t>
      </w:r>
    </w:p>
    <w:p>
      <w:r>
        <w:rPr>
          <w:b/>
        </w:rPr>
        <w:t xml:space="preserve">Datum: </w:t>
      </w:r>
      <w:r>
        <w:t>1923-05-09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Rooth (Första kammarens nationella parti, man)</w:t>
      </w:r>
    </w:p>
    <w:p>
      <w:r>
        <w:rPr>
          <w:b w:val="0"/>
        </w:rPr>
        <w:t>Herr vice talman! Statens kontroll över Vinoch. Spritcentralens verksamhet utövas alitsedan år 1920 av fyra utav styrelsens åtta ledamöter, därav ordföranden med utslagsröst. Halva antalet revisorer utses därjämte av staten,</w:t>
        <w:br/>
        <w:br/>
        <w:t xml:space="preserve">Vinoch spritcentralens samt dess </w:t>
      </w:r>
      <w:r>
        <w:rPr>
          <w:b/>
        </w:rPr>
        <w:t>dotterbolags²</w:t>
      </w:r>
      <w:r>
        <w:rPr>
          <w:b w:val="0"/>
        </w:rPr>
        <w:t xml:space="preserve"> räkenskaper och förvaltning hava undergått föreskriven granskning. Att, såsom motionären 'hemställt, Kungl. Maj:t skulle låta verkställa en ytterligare undersökning rörande Vinoch Spritcentralens och dess </w:t>
      </w:r>
      <w:r>
        <w:rPr>
          <w:b/>
        </w:rPr>
        <w:t>dotterbolags²</w:t>
      </w:r>
      <w:r>
        <w:rPr>
          <w:b w:val="0"/>
        </w:rPr>
        <w:t xml:space="preserve"> verksamhet alltifrån tillkomsten av förstnämnda bolag, synes under sådana förhållanden knappast befogat. I varje fall har motionären, såvitt jag förstår, ej förebringat fullt bärande skäl för en sådan utomordentlig åtgärd. Då vidare riksdagen så sent som förra året uttalat sin mening angående statens ställning till Vinoch Spritcentralen, synes det vara onödigt och olämpligt, att riksdagen återigen skriver om denna sak.</w:t>
        <w:br/>
        <w:br/>
        <w:t>Jag ber alltså, herr talman, att få yrka avslag å utskottets hemställanoch bifall till den av mig vid utlåtandet fogade reservationen.</w:t>
      </w:r>
    </w:p>
    <w:p>
      <w:pPr>
        <w:pStyle w:val="Heading2"/>
      </w:pPr>
      <w:r>
        <w:t>2. John Almkvist (Frisinnade folkpartiet, man)</w:t>
      </w:r>
    </w:p>
    <w:p>
      <w:r>
        <w:rPr>
          <w:b w:val="0"/>
        </w:rPr>
        <w:t>Herr talman, mina herrar! Motionären stöder sin framställning om en särskild revision av aktiebolaget Vinoch Spritcentralens hittillsvarande verksamhet på en del detaljerade uppgifter om vissa förhållanden, huvudsakligen av ekonomisk karaktär, inom bolaget. Dessa uppgifter äro, såsom herrarna torde finna, såsom bilagor fogade till motionen. Utskottet har för sin del icke ansett sig kunna, med anledning av denna del av motiveringen för motionärens framställning, tillråda en framställning till Kungl. Maj:t, men då utskottet det oaktat ansett sig böra tillstyrka en skrivelse i motionens: syfte, så har det skett huvudsakligen på grund av principiella skäl. Utskottet hade vid fjolårets riksdag, då frågan om en särskild revision av spritcentralens verksamhet även förelåg till behandling, tillfälle att höra en ledamot av kontrollstyrelsen framlägga sin uppfattning i frågan, och vid handläggningen av nu föreliggande motion</w:t>
        <w:br/>
        <w:br/>
        <w:t xml:space="preserve">har doktor Bratt haft tillfälle att inför utskottet synnerligen utförligt framlägga sina åsikter i ärendet. Utskottet har ägnat synnerlig uppmärksamhet åt frågan 'och därvid erhållit den uppfattningen, att koncentrationen av partihandeln med vin och sprit skedde i avsikt att billigare och tillförlitligare varor skulle tillhandahållas vederbörande avnämare. Uppgiften för bolaget skulle alltså, enligt bolagets egen uppfattning, vara att tillgodose ett enbart privat intresse, för vars bevakande staten icke har anledning att ingripa, därest icke andra, staten direkt vidkommande skäl berättiga därtill. Genom den överenskommelse, som sedermera träffades med staten, och enligt vilken bolagets vinst, efter det vissa avdrag ägt rum, skall inlevereras till statsverket, har bolaget även fått en annan uppgift, nämligen att tillgodose ett direkt statsintresse. Denna sista uppgift synes också vid vissa tillfällen hava framhävts såsom den väsentliga och dominerande för bolaget, då krav framställts på, att en till beloppet fixerad summa, som ansetts nödig för statsändamål, skulle inlevereras till statsverket. Här har alltså förelegat en efter överenskommelsen uppkommen stark motsättning mellan å ena sidan bolagets egen uppfattning om syftet med verksamheten och å andra sidan statens uttalade vilja att erhålla så stor vinst som möjligt. Härigenom har också den egendomiliga 'omständigheten inträffat, att prisoch inköpsnämndens verksamhet, vad Vinoch Spritcentralen beträffar, blivit fullständigt illusorisk, så till vida nämligen att Vinoch Spritcentralen kunnat förklara sig förhindrad att följa nämndens direktiv, då bolaget vore bundet av sina åtaganden till staten, beträffande vinstmedlens inlevererande till statsverket. Nu invänder man, att denna motsättning kommer att hävas därigenom, att statens ekonomiska intresse skall tillgodoses genom omsättningsskatt och icke genom en direkt inlevererad vinst från spritcentralen. Detta bolag skulle alltså fortfarande komma att driva sin verksamhet såsom ett enskilt företag, på samma sätt som hittills, ehuru det tillkommit genom statens medverkan, och sannolikt också under samma former, som dem man hittills kunnat konstatera. Bolaget skulle alltså fortfarande kunna inköpa olika företag och firmor och följaktligen framdeles i samma omfattning som hittills tillfredsställa sin tydligen stora expansionslust. För dem, som starkt sätta i fråga, huruvida detta system med hänsyn till det allmännas intressen är det lämpligaste, är en eventuell anordning i denna riktning icke tillfredsställande, och därför bör en närmare undersökning ske för fastställande av de riktlinjer, efter vilka bolagets verksamhet bör läggas. Denna undersökning måste emellertid, om den skall betyda något och leda till resultat, jämväl omfatta bolagets hittillsvarande organisationsformer och verksamhetssätt, och särskild uppmärksamhet borde därvid ägnas åt uppkomsten och utvecklingen av </w:t>
      </w:r>
      <w:r>
        <w:rPr>
          <w:b/>
        </w:rPr>
        <w:t>dotterbolagen²</w:t>
      </w:r>
      <w:r>
        <w:rPr>
          <w:b w:val="0"/>
        </w:rPr>
        <w:t xml:space="preserve">, varjämte ett klarläggande borde ske av dessas ekonomiska samband med huvudbolaget. Därjämte borde en utredning verkställas, huruvida och på vilket sätt ett särskiljande av </w:t>
      </w:r>
      <w:r>
        <w:rPr>
          <w:b/>
        </w:rPr>
        <w:t>dotterbolagen²</w:t>
      </w:r>
      <w:r>
        <w:rPr>
          <w:b w:val="0"/>
        </w:rPr>
        <w:t xml:space="preserve"> från huvudbolagets verksamhet och ledning må kunna äga rum.</w:t>
        <w:br/>
        <w:br/>
        <w:t>Häremot anföres med styrka, och detta särskilt av reservanterna herrar Julin och Bondeson, att en dylik undersökning skulle innebära en sådan akt av misstroende mot bolagets ledning, att den som motiv kräver, att allvarliga missförhållanden under den tidigare verksamheten kunde påvisas och mindre tillfredsställande sidor beträffande affärsverksamheten konstateras eller åtminstone göras sannolika. För min personliga del har jag svårt att förstå huru man, med utgångspunkt från utskottets motivering kan fälla ett sådant påstående. Utskottet har, såsom kammaren behagade finna, i sitt betänkande icke alls sysslat med bolagets ekonomiska förvaltning och alltså icke heller gått in på ett bedömande av, huruvida den ena eller andra affären varit behövlig och klok eller omotiverad och förlustbringande, och ännu mindre har utskottet gjort något uttalande, som kan betecknas såsom förklenande eller såsom innebärande misstro mot statens representanter i bolaget. Vad särskilt revisorerna beträffar, är ju deras uppgift begränsad till ett övervakande av, huruvida den rent ekonomiska förvaltningen med nuvarande organisationsform så handhaves, att den icke lämnar rum för anmärkningar. Riksdagen har emellertid i den skrivelse, som föregående ärade talare relaterade, förklarat — det skedde i fjol — att nuvarande revision icke är tillfredsställande, varför det bör undersökas, huruvida icke även en annan form för revisionen bör skapas. Utskottet har undersökt, huruvida denna skrivelse hittills lett till något resultat och därvid funnit, att så icke är fallet. Under sådana förhållanden, och då utskottet har den uppfattningen, att en undersökning bör ske av bolagets hittillsvarande verksamhet i avsikt att få konstaterat, huruvida det nuvarande systemet är det mest tillfredställande eller om det bör avlösas av något annat, har utskottet tillstyrkt kammaren att hos Kungl. Maj:t begära en sådan utredning.</w:t>
        <w:br/>
        <w:br/>
        <w:t>Utskottets ståndpunkt är alltså grundad på fullt sakliga skäl, och jag ber, herr talman, att få yrka bifall till utskottets förslag.</w:t>
      </w:r>
    </w:p>
    <w:p>
      <w:pPr>
        <w:pStyle w:val="Heading2"/>
      </w:pPr>
      <w:r>
        <w:t>3. Adolf Lindgren (–, man)</w:t>
      </w:r>
    </w:p>
    <w:p>
      <w:r>
        <w:rPr>
          <w:b w:val="0"/>
        </w:rPr>
        <w:t>Herr talman! I egenskap av motionär skall jag be att få yttra några ord.</w:t>
        <w:br/>
        <w:br/>
        <w:t>Utskottet har på ett välvilligt sätt, för vilket jag tackar, tagit fasta på en grundtanke i min motion. Som kammaren torde finna, har utskottet emellertid gjort ett tillstyrkande, som icke helt sammanfaller med mitt yrkande. Jag vill dock, i det läge frågan nu befinner sig, acceptera utskottets förslag. Jag gör detta därför att, om utskottets förslag skulle bli riksdagens beslut, det synes mig i realiteten kunna leda till det mål, som jag åsyftar. Jag förutsätter nämligen, att ett bifall till utskottets förslag måste leda till att partihandelsfrågan definitivt avgöres, först sedan den utredning utskottet förordar blivit verkställd.</w:t>
        <w:br/>
        <w:br/>
        <w:t>Härefter ber jag att få bemöta några påståenden, som uttalats av de ärade reservanterna.</w:t>
        <w:br/>
        <w:br/>
        <w:t>Vad då först angår den synpunkt, som andragits av herr Rooth och som även återkommer i herrar Julins och Bondesons reservation, att riksdagen redan 1922 hos Kungl. Maj:t hemställt om förslag till statlig</w:t>
        <w:br/>
        <w:br/>
        <w:t>revision av vissa monopolföretag och att därför en skrivelse i denna fråga nu skulle vara överflödig, så vill jag säga, att denna synpunkt skulle väga tyngre, om vi hade sett, att Kungl. Maj:t fäst avseende vid denna skrivelse. Nu har hela 1923 års riksdag snart gått till ända, utan att något initiativ till en sådan utredning avhörts. Ingen vet, om en sådan utredning kommer till stånd. Ingen vet heller i vilken riktning ett eventuellt förslag skulle komma att gå. Riksdagsskrivelsen nr 166 vid 1922 års riksdag talar om en revision genom »statsrevisionen eller på annat sätt». Antag att man bestämmer sig för att utvidga statsrevisionen att omfatta jämväl vissa monopol. Det blir då en grundlagsfråga, och därmed är saken dragen på långbänk och kan ej avgöras förrän efter val till andra kammaren.</w:t>
        <w:br/>
        <w:br/>
        <w:t>Nej, mina herrar, om regeringen i år hade lagt fram en proposition, som hade avsett att skapa en revision »på annat sätt&gt; än genom statsrevisionen, d. v. s. om reformen hade kunnat åvägabringas genom en enkel lagstiftningsakt i år, då hade saken ställt sig på annat sätt. Då hade riksdagen haft i sin hand att, samtidigt med godkännandet av den nya monopolpropositionen, också bestämma över den apparat, genom vilken man kunde kontrollera monopolet. Nu däremot måste jag anse, att det är i högsta grad av behovet påkallat, att riksdagen genom bifall till utskottets förslag på det kraftigaste understryker det krav, som förra året framfördes.</w:t>
        <w:br/>
        <w:br/>
        <w:t>Jag övergår så till att närmare granska en del påståenden i herrar Julins och Bondesons reservation.</w:t>
        <w:br/>
        <w:br/>
        <w:t>De båda reservanterna göra ett stort nummer av kravet på en undersökning av ett företag, i vars styrelse sitta representanter, utsedda av Kungl. Maj:t, och bland vars revisorer också sitta av Kungl. Maj:t utsedda personer. Reservanterna mena, att det skulle vara ologiskt att icke förlita sig på dessa av Kungl. Maj:t utsedda representanter, men däremot sätta tilltro till särskilda av Kungl. Maj:t utsedda sakkunniga. Detta reservanternas resonemang beror på ett missförstånd, som också sticker fram, då reservanterna säga, att den ifrågasatta granskningen icke bör äga rum, alldenstund decharge redan givits åt förvaltningen för de gångna åren. Här är det givetvis alls icke fråga om en decharge i den mening reservanterna åsyfta. Här är det icke fråga om de spörsmål om laglighet och dylikt, som en revisor måste göra. Utan här är det fråga om en ny och av förutfattade meningar oberoende bedömning av företagets ekonomiska ställning, organisation och lämplighet att utöva lagfästad monopolställning. Det är verkligen en ny och farlig lära, att riksdagen skulle vara förpliktad att utan vidare godkänna de påståenden i detta avseende, som göres av representanter i ett bolags förvaltning, vilka en gång tillsatts av regering, allra helst om det befinnes, att dessa representanter icke mäktat att för riksdagen framlägga det material riksdagen behöver för sitt beslut, allra helst då synes mig riksdagen ha full rätt att begära kompletterande, allsidigare och grundligare utredningar. Ha verkligen ni, mina herrar, icke allesamman varit med om att av Kungl. Maj:t begära förnyade utredningar genom nytt folk, trots</w:t>
        <w:br/>
        <w:br/>
        <w:t>att utredningar, gjorda genom Kungl. Maj:ts försorg, förelegat i en fråga?</w:t>
        <w:br/>
        <w:br/>
        <w:t>Den tanke, som ligger bakom herrar Julins och Bondesons reservation, synes mig innebära en nästan slavisk vördnad för vad en regering tager sig till och för dess utsedda ombud. Och för övrigt, mina herrar, hur ställer det sig med de upplysningar om bolagets ställning, som från bolagets styrelse och revisorer kommit till offentligheten? Äro de verkligen så samstämmande, så enhetliga och så motsägelselösa, att de ingiva obetingad tillit? Jag vill bestrida, att så är fallet och skall till stöd härför längre fram i denna framställning anföra ett talande exempel.</w:t>
        <w:br/>
        <w:br/>
        <w:t>Till slut, mina herrar, polemisera reservanterna, herrar Julin och Bondeson, i denna fråga mot statens rätt att göra den undersökning och utredning utskottet förordar. Ja, herr talman, i den frågan behöver jag icke länge upptaga kammarens tid. Jag vill blott hänvisa till kammarens eget beslut förra året att biträda en riksdagsskrivelse, som gick ut på, att en särskild granskning ur statsfinansiell synpunkt av just sådana monopol som spritcentralen måtte komma till stånd, vilken riksdagsskrivelse reservanterna för Övrigt själva i annat sammanhang åberopat.</w:t>
        <w:br/>
        <w:br/>
        <w:t>I den kungl. propositionen nr 170, som förre finansministern herr Thorsson framlagt vid denna riksdag, förekommer å sid. 30 följande uttalande: »Av väsentlig betydelse för bedömandet av frågan, om partihandelsrätt bör upplåtas åt spritcentralen, är givetvis bolagets ställning i ekonomiskt avseende.»</w:t>
        <w:br/>
        <w:br/>
        <w:t>Det är med stor tillfredsställelse jag konstaterat, att detta uttalande framkommit från herr Thorsson. Detta är just vad jag och de som tänka liksom jag alltid ansett. Det är denna tanke som bär upp vårt bestämda krav, att riksdagen måtte få full kännedom om spritcentralens ställning i ekonomiskt avseende, innan riksdagen går att taga ståndpunkt till partihandelsfrågan, och innan den lämnar sitt bifall till ett arrangemang, genom vilket spritcentralen skulle få sin monopolställning fullt dagligt genomförd och befästad. Det gäller nu endast att få denna riktiga princip realiserad, förverkligad i handling. Det gäller, säger jag, att få det besked om bolagets ekonomiska ställning, som herr Thorsson själv erkänt vara nödvändigt.</w:t>
        <w:br/>
        <w:br/>
        <w:t>När nu herr Thorsson gjort ett sådant medgivande, så skulle man ju kunnat vänta, att han i den kungl. propositionen också framlagt den utredning om bolagets ställning, som vi alla numera anse erforderlig. Vad herr Thorsson har att säga till belysning av denna ställning är emellertid absolut otillräckligt. Jag har själv, det vågar jag verkligen utan självförhävelse säga, under ett långt liv som affärsman fått någon vana att läsa redogörelser för affärsföretags ekonomiska situationer. Men av vad som i det hänseendet förekommer i den kungl. propositionen nr 170, har jag absolut icke kunnat få den ringaste föreställning om bolagets situation. Och jag vågar påstå, att ej heller någon annan lär kunna få det. Ty vad får man. här till livs? Jo, man får veta, att finans-</w:t>
        <w:br/>
        <w:br/>
        <w:t>ministern inhämtat, att »inga avtal av Vinoch Spritcentralen under tidigare år slutits, som skulle kunna påverka dess möjligheter, att på ett ur det allmännas synpunkt tillfredsställande sätt handhava handeln med rusdrycker»&gt;.</w:t>
        <w:br/>
        <w:br/>
        <w:t>Den första fråga man gör sig, när man läser detta, är givetvis: Av vem har finansministern »inhämtat&gt; detta? Skall denna upplysning i mina ögon hava något bevisvärde, så bör den härleda sig från ett håll, som på samma gång är sakkunnigt och icke i ringaste mån ansvarigt för spritcentralens skötsel »under tidigare år»; ej heller bör den, som lämnat upplysningen, vara intresserad av, att centralen får monopolställning sig tillerkänd.</w:t>
        <w:br/>
        <w:br/>
        <w:t xml:space="preserve">Och vidare undrar man, när det sägs, att inga sådana avtal slutits av aktiebolaget Vinoch Spritcentralen, om avtal av denna art möjligen slutits av något </w:t>
      </w:r>
      <w:r>
        <w:rPr>
          <w:b/>
        </w:rPr>
        <w:t>dotterbolag²</w:t>
      </w:r>
      <w:r>
        <w:rPr>
          <w:b w:val="0"/>
        </w:rPr>
        <w:t>. Ty detta, herr talman, är just en av de svaga punkterna i hela denna monopolhistoria, att det finnes så många bolag inom koncernen, att mycket kan förehavas inom några av dessa bolag, medan ledningen samtidigt med stor tvärsäkerhet kan påstå, att det icke förekommer eller förekommit inom andra bolag i den stora ringen.</w:t>
        <w:br/>
        <w:br/>
        <w:t>Att oerhört stora och dyra varuengagemang förekommit från partihandelsmonopolets sida, det vet man med säkerhet. På den tiden man kände krafterna svälla, då hände det, att man t. o. m. skröt med de väldiga engagemang man ingått.</w:t>
        <w:br/>
        <w:br/>
        <w:t>Jag har här i min hand en intervju med doktor Ivan Bratt, som denne i maj 1919 beviljade en medarbetare i en tidning efter sin hemkomst från en resa till Frankrike. Häri meddelade doktor Bratt, att inköp gjorts för flera år framåt och omfatta även mycket goda kvalitetsviner och sällsyntare årgångar. Doktor Bratt framhöll då även, att vinpriserna voro ofantligt höga, ända upp till 6 å 7 gånger högre än före kriget. Jag nämner detta endast som ett notoriskt exempel på farliga engagemang, i vilka spritcentralen kan hava bundit sig. Sannolikt är väl också, att centralen ännu har betydande partier kvar av de dyra viner, som inköptes 1919, synnerligen som omsättningen, särskilt i fråga om dyra viner, minskats oerhört sedan 1919.</w:t>
        <w:br/>
        <w:br/>
        <w:t xml:space="preserve">Finansministern åberopar i övrigt den berättelse, som förra året vidfogades den kungl. propositionen nr 191. Men redan då påpekades i riksdagen, att värdena i denna berättelse voro för högt upptagna. Icke desto mindre begär man, att vi i dag, ett år senare, skola godtaga och lägga dem till grund för vår uppskattning av bolagets ekonomiska ställning. Ifråga om </w:t>
      </w:r>
      <w:r>
        <w:rPr>
          <w:b/>
        </w:rPr>
        <w:t>dotterbolagen²</w:t>
      </w:r>
      <w:r>
        <w:rPr>
          <w:b w:val="0"/>
        </w:rPr>
        <w:t>, som dock utgöra ett viktigt kapitel, behandlas särskilt tvenne sådana: Carnegies porterbolag och Nya Grand hotell. Beträffande porterbolaget får man i sak ej veta något annat än, att det för närvarande icke kan vara möjligt att verkställa någon uppskattning av dess ekonomiska läge och beträffande aktiebolaget Nya Grand hotell säges, att »dess driftresultat givetvis i oförmånlig riktning påverkats av den rådande ekonomiska depressionen, som ock lärer försvåra en säker kalkyl av dess ekonomiska bärighet». Ja, mina herrar,</w:t>
        <w:br/>
        <w:br/>
        <w:t>hela utredningen, som lämnats, består dels av vaga och allmänna fraser och dels av förklaringar, att inga säkra kalkyler kunna lämnas. Det Annes emellertid andra upplysningar, genom vilka en granskare kan få en viss uppfattning av huruvida Spritcentralen har den ekonomiska ställning, att, såsom herr Thorsson säger, »partihandelsrättighet bör upplåtas&gt; åt detsamma.</w:t>
        <w:br/>
        <w:br/>
        <w:t>Men härvidlag gäller givetvis vad jag yttrat i min motion, att en enskild person har mycket svårt att genomtränga den månghövdade partihandelsorganisationens hemligheter. De årsberättelser, som koncernen årligen utgiver, äro så ofullständiga och så otydliga, att det ej är möjligt att med stöd av dessa bilda sig ett allsidigt omdöme om det verkliga läget. Som bevis för detta mitt påstående vill jag blott anföra ett par exempel.</w:t>
        <w:br/>
        <w:br/>
        <w:t xml:space="preserve">I aktiebolaget Vinoch Spritcentralens balansräkning per 31 december 1921 är upptaget skuld till </w:t>
      </w:r>
      <w:r>
        <w:rPr>
          <w:b/>
        </w:rPr>
        <w:t>dotterbolagen²</w:t>
      </w:r>
      <w:r>
        <w:rPr>
          <w:b w:val="0"/>
        </w:rPr>
        <w:t xml:space="preserve"> 1,136,663 kronor 21 öre, under det att ett enda av dessa </w:t>
      </w:r>
      <w:r>
        <w:rPr>
          <w:b/>
        </w:rPr>
        <w:t>dotterbolag²</w:t>
      </w:r>
      <w:r>
        <w:rPr>
          <w:b w:val="0"/>
        </w:rPr>
        <w:t>, nämligen Porterbryggeriaktiebolaget D. Carnegie &amp; Co. i sin balansräkning per samma dag upptagit fordran av moderbolaget aktiebolaget Vinoch Spritcentralen, å ej mindre än 10,800,000 kronor.</w:t>
        <w:br/>
        <w:br/>
        <w:t>Det är ju möjligt, att det kan givas en förklaring på ett så egendomligt sätt att skriva balansräkningar. Såsom gammal affärsman vill jag dock säga, att jag aldrig sett maken. Om avsikten varit att inhölja läget i dunkel, för att ingen av balansräkningarna skall kunna få ett rätt begrepp om respektive bolagens ställning, då har metoden förvisso varit bra. Men varför ett sådant hemlighetsmakeri? Balansräkningarna måste ju dock läggas till grund för bedömandet av respektive bolags ställning.</w:t>
        <w:br/>
        <w:br/>
        <w:t>Ännu ett exempel: Under de första åren upptog Vinoch Spritcentralen i sin vinstoch förlusträkning korrekt rörelsens bruttovinst, omkostnader och nettovinst, men under de senaste åren har man icke angivit brutto eller omkostnader, utan endast netto. Detta är återigen ett hemlighetsmakeri, som icke borde förekomma, allraminst hos ett bolag, som fått privilegierad ställning av staten, ett hemlighetsmakeri, som ingalunda bidrager att öka förtroendet för bolaget och dess verksamhet. De exempel, som jag här anfört, synas mig tillfullo bestyrka mitt påstående, att Vinoch Spritcentralens förvaltningsberättelser lida av så stor oklarhet och ofullständighet, att det även för ett ganska erfaret öga är omöjligt att få en tydlig bild av företagets skötsel och ekonomiska ställning.</w:t>
        <w:br/>
        <w:br/>
        <w:t>Men än värre är det, när man i koncernens berättelser finner ciffror angivande värden, som stå i den mest uppenbara strid mot varandra. Man finner, säger jag, motsägelser av synnerligen betänklig art, motsägelser, som giva näring åt tvivlet på hållbarheten i de kalkyler och värden, som av koncernen framläggas för offentligheten. Jag skall be att få belysa detta mitt påstående med ett exempel.</w:t>
        <w:br/>
        <w:br/>
        <w:t>Koncernen har som bekant (om det varit så lyckligt, lämnar jag därhän) inköpt stora aktieposter uti en del företag, såsom aktiebolaget</w:t>
        <w:br/>
        <w:br/>
        <w:t xml:space="preserve">Fenixpalatset, Stockholms allmänna restaurangaktiebolag och aktiebolaget Uppsala stadshotell med flera. Dessa aktier, som ägas dels av aktiebolaget Vinoch Spritcentralen och dels av vissa dessa </w:t>
      </w:r>
      <w:r>
        <w:rPr>
          <w:b/>
        </w:rPr>
        <w:t>dotterbolag²</w:t>
      </w:r>
      <w:r>
        <w:rPr>
          <w:b w:val="0"/>
        </w:rPr>
        <w:t>, äro i respektive bolags balansräkningar per den 31 december 1921 upptagna till följande värden:</w:t>
        <w:br/>
        <w:br/>
        <w:t>Vilka värden är månne här de rätta? Även i andra bolag äger koncernen aktier, som i respektive balansräkningar per den 31 december 1921 åsatts olika värden.</w:t>
        <w:br/>
        <w:br/>
        <w:t xml:space="preserve">Det torde även böra nämnas, att Vinoch Spritcentralens stora aktieinnehav i icke mindre än tolv </w:t>
      </w:r>
      <w:r>
        <w:rPr>
          <w:b/>
        </w:rPr>
        <w:t>dotterbolag²</w:t>
      </w:r>
      <w:r>
        <w:rPr>
          <w:b w:val="0"/>
        </w:rPr>
        <w:t xml:space="preserve"> och fyra andra bolag nedskrivits till 16 kronor. Vilka väldiga belopp vinstmedel hava icke tagits i anspråk för dessa avskrivningar! Ensamt å bolagets aktier i </w:t>
      </w:r>
      <w:r>
        <w:rPr>
          <w:b/>
        </w:rPr>
        <w:t>dotterbolaget²</w:t>
      </w:r>
      <w:r>
        <w:rPr>
          <w:b w:val="0"/>
        </w:rPr>
        <w:t xml:space="preserve"> Carnegie avskrevs 1921 2 miljoner kronor, och torde behöva avskrivas ytterligare minst 5 å 6 miljoner kronor.</w:t>
        <w:br/>
        <w:br/>
        <w:t>Jag vill fråga er, mina herrar, om detta sätt att bokföra koncernens tillgångar ger intryck av den vederhäftighet, som man dock har rätt att fordra av ett företag, som framträder med sådana pretentioner som aktiebolaget Vinoch Spritcentralen.</w:t>
        <w:br/>
        <w:br/>
        <w:t>Jag vill påstå, att de bokföringsmetoder, som här kommit till synes, på ett allvarligt sätt måste rubba tilltron till koncernens uppgifter. Men, mina herrar, även ifråga om koncernens hela ekonomiska</w:t>
        <w:br/>
        <w:br/>
        <w:t>ställning äro de föreliggande uppgifterna motsägelsefulla och inbör-</w:t>
        <w:br/>
        <w:br/>
        <w:t>des stridiga. Till stöd för detta mitt påstående skall jag be att få ställa vid sidan av varandra två yttranden, det ena från Vinoch Spritcentralens egen ledning, det andra från ett annat auktoritativt håll, nämligen från en av bolagets revisorer; och jag kommer här in på det exempel på stridiga uppgifter, som jag berörde, då jag inledningsvis belyste reservanterna Julins och Bondesons argumentering.</w:t>
        <w:br/>
        <w:br/>
        <w:t>Det förstnämnda yttrandet, som avgivits av Vinoch Spritcentralens egen ledning, har återgivits av kungl. kommerskollegium 1 kollegiets den 20 juni 1922 lämnade uttalande angående ett eventuellt rusdrycksförbuds ekonomiska verkningar. I detta betänkande återfinnes ett referat av ett yttrande, som spritcentralen avgivit rörande följderna av ett förbud. Det heter här: »Det synes påtagligt, såsom även av Vinoch Spritcentralens styrelse framhålles i dess yttrande, att vid kortare avvecklingstid och därav nödvändiggjord forcerad realisation av bolagets tillgångar betydande förluster skulle kunna uppstå och giva anledning till motsvarande direkta skadeståndskrav på statsverket.»</w:t>
        <w:br/>
        <w:br/>
        <w:t>Jag skall i detta sammanhang icke till belysning upptaga spritcentralens eventuella krav på direkt skadestånd på statsverket. Jag vill här endast taga fasta på detta yttrande från Vinoch Spritcentralen i så måtto, att det oförblommerat angiver centralens egen uppfattning om sitt läge.</w:t>
        <w:br/>
        <w:br/>
        <w:t>Gent emot detta yttrande vill jag ställa vad en av bolagets revisorer, herr Bernhard Eriksson i Grängesberg, uttalade under debatten i andra kammaren den 27 maj 1922. Herr Eriksson yttrade då: »Jag säger, att den, som något tränger in i bolagets affärer, måste få den uppfattningen, att bolagets ställning är sådan, att det här icke är fråga om att krafsa kastanjerna ur elden för bolaget och dess styrelse, ty ställningen är så solid, att om bolaget skulle likvidera i dag, så skulle aktieägarna få sitt, och de, som böra pensioneras skulle också få sitt, och det bleve säkerligen dessutom en slant över för staten.»</w:t>
        <w:br/>
        <w:br/>
        <w:t>Jag ber er, mina herrar, att jämföra dessa en bolagsrevisors ord med vad jag nyss återgivit ur bolagets eget yttrande till kommerskollegiet. Revisorn sade i maj 1922, att, om bolaget likviderar i dag, så bleve det säkerligen en slant över för staten också. Bolagets styrelse har enligt kommerskollegiets referat i juni 1922 sagt, att om bolaget får en kortare avvecklingstid på sig, så kommer det med skadeståndsanspråk på staten!</w:t>
        <w:br/>
        <w:br/>
        <w:t>Ja, mina herrar, jag frågar er: Behövs det verkligen något bättre bevis för, att de uppgifter, som komma från spritcentralens kretsar, äro så motsägelsefulla och så oklara, att riksdagen icke kan få någon klar bild av företagets verkliga läge. Behövs det verkligen något mera vittneshörd därom, att en utredning av opartiska sakkunniga är oundgängligen nödvändig, innan riksdagen går att lösa partihandelsfrågan? Kommen ihåg, mina herrar, vad finansministern herr Thorsson själv har sagt: »Av väsentlig betydelse för bedömandet av frågan, om partihandelsrätt bör upplåtas åt spritcentralen, är givetvis bolagets ställning i ekonomiskt avseende.»</w:t>
        <w:br/>
        <w:br/>
        <w:t>Men, som vi ha hört, är man inom spritcentralens eget läger oenig om, hurudan denna ställning är beskaffad. Låt oss därför skaffa oss visshet om dessa saker, innan vi fatta det stora avgörandet om, huru partihandelsfrågan bör lösas.</w:t>
        <w:br/>
        <w:br/>
        <w:t>För egen del vill jag tillstå, att jag lutar åt den tron, att den bild, som kommerskollegiets utlåtande ger av centralens läge, är den riktigaste och med verkligheten mest överensstämmande.</w:t>
        <w:br/>
        <w:br/>
        <w:t xml:space="preserve">Det är, säger nämligen kommerskollegiet, »särskilt att märka, att Vinoch Spritcentralen, liksom vissa dess </w:t>
      </w:r>
      <w:r>
        <w:rPr>
          <w:b/>
        </w:rPr>
        <w:t>dotterbolags²</w:t>
      </w:r>
      <w:r>
        <w:rPr>
          <w:b w:val="0"/>
        </w:rPr>
        <w:t xml:space="preserve"> finansiering till betydande omfattning skett genom upplånat kapital. Enligt bolagets styrelseberättelse för år 1921 överstego sålunda aktiebolaget Vinoch Spritcentralens skulder i obligationslån samt till banker och diverse personer de likvida fordringarna med cirka 41 miljoner kronor, vartill kommer </w:t>
      </w:r>
      <w:r>
        <w:rPr>
          <w:b/>
        </w:rPr>
        <w:t>dotterbolaget²</w:t>
      </w:r>
      <w:r>
        <w:rPr>
          <w:b w:val="0"/>
        </w:rPr>
        <w:t>, Porterbryggeriaktiebolaget Carnegie &amp; Co:s obligationslån å 10,450,000 kronor&gt;.</w:t>
        <w:br/>
        <w:br/>
        <w:t>Härtill kan jag för min del tillfoga, att kommerskollegiet synes hava underlåtit att medräkna dels andra skulder än jämna miljonbeiopp och dels det i balansräkningen pr 31/12 1921 redovisade vinstbeloppet, varav ju dock enligt styrelsens förslag efter bolagsstämman skulle utbetalas och väl även utbetalades 11,418,709 kronor 55 öre.</w:t>
        <w:br/>
        <w:br/>
        <w:t>I själva verket överstego bolagets skulder förutom de egna fon- '</w:t>
        <w:br/>
        <w:br/>
        <w:t xml:space="preserve">derna de likvida tillgångarna den 31/12 1921 med icke mindre än 59,350,650 kronor 50 öre. Häri ingår ej </w:t>
      </w:r>
      <w:r>
        <w:rPr>
          <w:b/>
        </w:rPr>
        <w:t>dotterbolagens²</w:t>
      </w:r>
      <w:r>
        <w:rPr>
          <w:b w:val="0"/>
        </w:rPr>
        <w:t xml:space="preserve"> skulder till mycket betydande belopp.</w:t>
        <w:br/>
        <w:br/>
        <w:t>»Dessa skulder», fortsätter emellertid kommerskollegiet, »motsvaras, förutom av varulager till ett värde av 45 miljoner kronor, av värdet i fasta anläggningar och inventarier.»</w:t>
        <w:br/>
        <w:br/>
        <w:t>Kontentan är alltså, att ensamt moderbolaget i den stora koncernen har skulder utöver s. k. »likvida fordringar» till ett belopp av nära 60 miljoner kronor. Dessa siffror bestyrka mina djupa tvivelsmål, att bolaget skulle hava den ekonomiska ställning, som enligt vad nu allmänt erkännes är erforderlig för, att bolaget skall få monopolställning.</w:t>
        <w:br/>
        <w:br/>
        <w:t>Som ett bevis på att bolagets ekonomiska ställning är, lindrigast sagt, ansträngd, vill jag anföra vad jag ur säkraste källa erfarit, nämligen att bolaget vid inköp av sin ojämförligt största omsättningsartikel, brännvinet, betalar med 3 månaders växlar, vilka sedan vid förfall omsättas på ytterligare 3 månader — detta, ehuru bolaget självt ej lämnar längre kredit än 15 dagar. Huru långa krediter bolaget betingar sig av sina utländska leverantörer känner jag ej, men franska vinoch konjaksfirmor torde i nödfall lämna ända till I å 2 ärs krediter! Om emellertid vanliga partihandelsfirmor använda sig av längre krediter än de själva vid försäljning lämna, så betraktas de med befogad misstro och äro dömda att försvinna.</w:t>
        <w:br/>
        <w:br/>
        <w:t>Jag vill ock erinra därom, att före Vinoch Spritcentralens tillkomst var det bruk, att de svenska brännvinstillverkarna alltid fingo kontant likvid.</w:t>
        <w:br/>
        <w:br/>
        <w:t>Enligt mitt förmenande har Vinoch Spritcentralens ekonomiska ställning och likviditet blivit, om icke undergrävd så dock ansträngd, för att icke säga överansträngd genom alltför stor expansionslusta och misslyckade spekulationer. Jag vill blott erinra om de huvudlösa inköpen av Astra i Södertälje, Nya Grand hotell, Carnegieska porterbryggeriet, större och mindre aktieposter i vissa hotelloch restaurangbolag samt sist, men icke minst de besinningslösa stora inköpen av vin och spirituosa under den svåraste högkonjunkturen 1919, inköp avsedda att täcka flera års behov och påminnande om de mest svindlande kristidsaffärer. Inköpet av Centralpalatset till högt pris, uppförandet av den stora magasinsbyggnaden i kvarteret Städet för en kostnad av, som det uppgives, minst 5 å 6 miljoner kronor, inrättandet av ett nytt dyrbart reningsverk i Södertälje samt andra liknande transaktioner vittna sannerligen icke om betänksamhet och försiktighet hos koncernens ledning.</w:t>
        <w:br/>
        <w:br/>
        <w:t>Att särskilt miljonbyggnaden i kvarteret Städet planlades och uppfördes under de ovissa förhållanden, med hänsyn till bolagets framtida möjligheter, som rådde före förbudsomröstningen, samt att byggmästaren för uppförandet av denna byggnad betingat sig arvode i form av viss procent å byggnadskostnaden, vittnar ej heller om plan-</w:t>
        <w:br/>
        <w:br/>
        <w:t>Man synes ha velat slå under sig så mycket som möjligt och göra centralen till något slags Ivar Vidfamne utan tanke på kostnader och skuldsättning, men sannolikt i den glada förhoppningen, att framdeles kunna bortamortera skuldbeloppen, blott man får monopolställningen fullt och lagligt genomförd för en längre tid.</w:t>
        <w:br/>
        <w:br/>
        <w:t xml:space="preserve">Följden har också blivit att aktiebolaget Vinoch Spritcentralen den 31 december 1921 hade en omslutning på över 99 miljoner kronor samt ansvarsförbindelser å 3,550,800 kronor, och 18 dess </w:t>
      </w:r>
      <w:r>
        <w:rPr>
          <w:b/>
        </w:rPr>
        <w:t>dotterbolag²</w:t>
      </w:r>
      <w:r>
        <w:rPr>
          <w:b w:val="0"/>
        </w:rPr>
        <w:t xml:space="preserve"> samma dag en omslutning å över 57 miljoner kronor samt ansvarsförbindelser å 9,664,417 kronor. Häri äro ej inräknade de tvenne </w:t>
      </w:r>
      <w:r>
        <w:rPr>
          <w:b/>
        </w:rPr>
        <w:t>dotterbolagen²</w:t>
      </w:r>
      <w:r>
        <w:rPr>
          <w:b w:val="0"/>
        </w:rPr>
        <w:t xml:space="preserve"> aktiebolaget Städet och aktiebolaget Centralpalatset, vilka tvenne bolag tillsammans torde omsluta minst 9 å 10 miljoner kronor.</w:t>
        <w:br/>
        <w:br/>
        <w:t>Mina herrar, finnes det verkligen någon ibland eder, som tror, att det behövs en koncern med över 165 miljoners omslutning och över 13 miljoners ansvarsförbindelser för att mot kontant likvid förse systembolagen med erforderliga varor? Eller att det kan vara ekonomiskt sunt och välbetänkt att hava så ordnat?</w:t>
        <w:br/>
        <w:br/>
        <w:t>Jag för min del är övertygad om motsatsen och ber därför, herr talman, samt på grund av vad jag anfört i min motion och nu,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457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