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1609</w:t>
      </w:r>
    </w:p>
    <w:p>
      <w:r>
        <w:rPr>
          <w:b/>
        </w:rPr>
        <w:t xml:space="preserve">Datum: </w:t>
      </w:r>
      <w:r>
        <w:t>1923-05-20</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Wilhelm Oskar Höglund (Socialdemokraterna, man)</w:t>
      </w:r>
    </w:p>
    <w:p>
      <w:r>
        <w:rPr>
          <w:b w:val="0"/>
        </w:rPr>
        <w:t>Herr talman, mina damer och herrar! Då jag är reservant i denna fråga, anhåller jag att i korthet få motivera min ställning.</w:t>
        <w:br/>
        <w:br/>
        <w:t xml:space="preserve">Enligt Kungl. Maj:ts av utskottet biträdda förslag skulle pensionsberättigade änkor och barn, vilkas pensioner avpassats efter de förhöjda pensionsunderlag, som blivit en följd av genomförda löneregleringar, erhålla dyrtidstillägg efter så väsentligt reducerade grunder, att deras sammanlagda inkomst av pension och dyrtidstillägg kommer att understiga vad som tillkommer pensionsberättigade änkor och barn efter befattningshavare i samma eller motsvarande befattning, vilka åtnjuta pension å gammal stat jämte oreducerat dyrtidstillägg. Beträffande verkan av reduceringen i dyrtidstillägget i förstnämnda fall vill jag här anföra ett exempel, hämtat ur en tabell, utvisande </w:t>
      </w:r>
      <w:r>
        <w:rPr>
          <w:b/>
        </w:rPr>
        <w:t>änkepensionerna²</w:t>
      </w:r>
      <w:r>
        <w:rPr>
          <w:b w:val="0"/>
        </w:rPr>
        <w:t xml:space="preserve"> för nuvarande 1—6 lönegraderna vid telegrafverket, dels beräknade enligt gamla reglementet för </w:t>
      </w:r>
      <w:r>
        <w:rPr>
          <w:b/>
        </w:rPr>
        <w:t>änkekassan²</w:t>
      </w:r>
      <w:r>
        <w:rPr>
          <w:b w:val="0"/>
        </w:rPr>
        <w:t>, plus tilläggspension plus dyrtidstillägg enligt de förmånligare villkoren, samt dels beräknade enligt nya reglementet för kassan, plus dyrtidstillägg enligt de ofördelaktigare villkoren. Om</w:t>
        <w:br/>
        <w:br/>
        <w:t xml:space="preserve">pension beviljats före den 1 juli 1920, utgår per månad i första lönegraden: pension 43 kronor 67 öre, pensionstillägg 2 kronor 50 öre och dyrtidstillägg 36 kronor 80 öre, summa 82 kronor 97 öre. Om däremot pension beviljats efter den 1 juli 1920, utgår: pension 49 kronor 58 öre, dyrtidstillägg 29 kronor 40 öre, summa 78 kronor 98 öre. Alltså en skillnad av 3 kronor 99 öre. Enligt en annan tabell ställer det sig till exempel i 8. lönegraden så, att en </w:t>
      </w:r>
      <w:r>
        <w:rPr>
          <w:b/>
        </w:rPr>
        <w:t>änka²</w:t>
      </w:r>
      <w:r>
        <w:rPr>
          <w:b w:val="0"/>
        </w:rPr>
        <w:t xml:space="preserve">, vilkens man avlidit före den 1 juli 1920, erhåller sammanlagt 1,377 kronor i pension för år räknat, medan en </w:t>
      </w:r>
      <w:r>
        <w:rPr>
          <w:b/>
        </w:rPr>
        <w:t>änka²</w:t>
      </w:r>
      <w:r>
        <w:rPr>
          <w:b w:val="0"/>
        </w:rPr>
        <w:t>, vilkens man avlidit efter den 1 juli 1920, erhåller 1,239 kronor. Det är alltså en skillnad av 138 kronor.</w:t>
        <w:br/>
        <w:br/>
        <w:t>Dylika ojämnheter i tillämpningen av bestämmelserna om dyrtidstillägg måste självfallet uppstå i alla de fall, då olika grunder skola tillämpas för å ena sidan reglerade och å andra sidan oreglerade verk, utan att åtgärder vidtagas för en utjämning i ena eller andra riktningen. För i tjänst varande befattningshavare sker en dylik utjämning genom s. k. personliga dyrtidstillägg, som utgå till vissa befattningshavare vid reglerade verk. För f. d. befattningshavare verkställes en motsvarande utjämning genom vad man skulle kunna kalla personliga avdrag å dyrtidstillägget å reglerade pensioner. När det gäller dyrtidstillägg till pensionsberättigade änkor och barn efter befattningshavare i statens tjänst, varom här är fråga, förefinnes däremot icke något stadgande, varigenom sådana egendomligheter som de nyss berörda förhindras.</w:t>
        <w:br/>
        <w:br/>
        <w:t>Såsom framgår av utskottsutlåtandet har utskottet uppmärksammat detta förhållande under behandlingen. Utskottet har emellertid icke ansett sig böra föreslå införandet i kungörelsen av en bestämmelse, som skulle undanröja här ifrågavarande ojämnheter. För ett dylikt steg erfordrades nämligen enligt utskottets mening en vidlyftig utredning, vilken lämpligen borde verkställas av Kungl. Maj:t, så att frågan kunde lösas i samband med framläggande av förslag om dyrtidstillägg till nästa års riksdag.</w:t>
        <w:br/>
        <w:br/>
        <w:t xml:space="preserve">Jag är den förste att vitsorda behovet av en sådan utredning, men jag kan därför icke vara med på att ifrågavarande pensionärer 1 avbidan på resultatet av denna utredning skola få vidkännas så stark beskärning av sina dyrtidstillägg, som här ifrågasatts. Vad det här närmast gäller är nämligen endast att rätta till den uppenbara orättvisa, som ligger däri, att </w:t>
      </w:r>
      <w:r>
        <w:rPr>
          <w:b/>
        </w:rPr>
        <w:t>änka²</w:t>
      </w:r>
      <w:r>
        <w:rPr>
          <w:b w:val="0"/>
        </w:rPr>
        <w:t xml:space="preserve"> med reglerad -pension erhåller ett för lågt dyrtidstillägg i förhållande till </w:t>
      </w:r>
      <w:r>
        <w:rPr>
          <w:b/>
        </w:rPr>
        <w:t>änka²</w:t>
      </w:r>
      <w:r>
        <w:rPr>
          <w:b w:val="0"/>
        </w:rPr>
        <w:t xml:space="preserve"> med oreglerad pension. Härför behövas inga ingående utredningar eller undersökningar. Vad som erfordras är endast en mindre korrigering av det tal, varefter dyrtidstillägget beräknas å de reglerade pensionerna. Enligt Kungl. Maj:ts proposition skulle dyrtidstillägget å dessa pensioner utgå efter det procenttal, som är 13 enheter lägre än det procenttal, som ligger till grund för beräkningen av dyrtidstillägget till pensionärer å gammal stat. Bestämmande av nu nämnda reduktionstal kan -— med de synnerligen växlande pensionsförhållanden, som här föreligga — omöjligen ske efter fullt objektiv grund, den måste 1 varje fall komma att innebära en större eller mindre grad av god-</w:t>
        <w:br/>
        <w:br/>
        <w:t xml:space="preserve">tycklighet. Men vad man kan och bör undvika vid fastställande av ett reduktionstal är sådana verkningar, vilka betyda så påtagliga orättvisor i tillämpningen, som påvisats vidlåda Kungl. Maj:ts förslag. Den enklaste utvägen är därför att något minska det tal, som angiver reduceringen för de reglerade pensionerna, och har jag i detta avseende i min reservation tillåtit mig föreslå, att denna reducering verkställes med 10 enheter i stället för 13 enheter. Härigenom skulle — utan att någon förändring i läget för pensionärer på gammal stat äger rum -— dyrtidstillägget å nyreglerade pensioner komma att ställa sig så, att pensionärer av denna klass icke behövde se sina inkomster förminskade endast av den anledningen, att deras pensioner blivit reglerade. Ett bifall till reservationen skulle sålunda undanröja möjligheterna för de orättvisor, som skulle följa av utskottets förslag. Då det stora flertalet </w:t>
      </w:r>
      <w:r>
        <w:rPr>
          <w:b/>
        </w:rPr>
        <w:t>änkepensioner²</w:t>
      </w:r>
      <w:r>
        <w:rPr>
          <w:b w:val="0"/>
        </w:rPr>
        <w:t xml:space="preserve"> ännu icke blivit reglerade, synes reservationens förslag kunna genomföras utan nämnvärd kostnad för staten.</w:t>
        <w:br/>
        <w:br/>
        <w:t xml:space="preserve">Reservationen föregriper ingalunda den utredning, som Kungl. Maj:t bör låta verkställa till nästa år för att definitivt bringa ur världen skiljaktigheterna mellan inkomsterna av reglerad och oreglerad </w:t>
      </w:r>
      <w:r>
        <w:rPr>
          <w:b/>
        </w:rPr>
        <w:t>änkepension²</w:t>
      </w:r>
      <w:r>
        <w:rPr>
          <w:b w:val="0"/>
        </w:rPr>
        <w:t xml:space="preserve"> jämte dyrtidstillägg. Reservationens förslag innebär emellertid en provisorisk hjälp mot de fullt påtagliga missförhållandena.</w:t>
        <w:br/>
        <w:br/>
        <w:t>Det är med denna motivering, herr talman, som jag i anslutning till den vid utskottets utlåtande fogade reservationen får yrka, att orden »13 enheter» i slutet av $ 5 i det föreliggande förslaget till kungörelse med allmänna grunder för dyrtidstillägg åt pensionsberättigade änkor och barn efter befattningshavare i statens tjänst m, fl. må utbytas mot orden »10 enheter», och således att utskottets hemställan bifalles med denna ändring.</w:t>
      </w:r>
    </w:p>
    <w:p>
      <w:pPr>
        <w:pStyle w:val="Heading2"/>
      </w:pPr>
      <w:r>
        <w:t>2. Bernhard Eriksson (Socialdemokraterna, man)</w:t>
      </w:r>
    </w:p>
    <w:p>
      <w:r>
        <w:rPr>
          <w:b w:val="0"/>
        </w:rPr>
        <w:t xml:space="preserve">Herr talman! Jag vill gärna erkänna, att det är ett missförhållande mellan reglerade och oreglerade pensioner, som bör rättas till. Bankoutskottet har undersökt om man kunde finna en möjlighet att göra det, och vi ha därvid haft hjälp av finansdepartementets sakkunniga på detta område. Men vi kommo till den uppfattningen, att man icke vågade föreslå några ändrade bestämmelser, som kunde anses vara tillfredsställande. Saken ligger icke på samma sätt, som när det gäller dyrtidstillägg åt f. d. befattningshavare. Dessa tillhöra ju pensionskassor, till vilka staten lämnar direkta bidrag. I regel bestrides två tredjedelar av deras pensioner av statsmedel och endast en tredjedel av deras egna insatser. Då det däremot gäller änkor och barn, tillhöra de olika </w:t>
      </w:r>
      <w:r>
        <w:rPr>
          <w:b/>
        </w:rPr>
        <w:t>änkeoch²</w:t>
      </w:r>
      <w:r>
        <w:rPr>
          <w:b w:val="0"/>
        </w:rPr>
        <w:t xml:space="preserve"> pupillkassor, och dessa olika kassor bestämma i allmänhet själva över grunderna för pensioneringen. Dessa kassor erhålla också statsbidrag men icke alls i samma omfattning. Då det nu är ett flertal kassor, vet man icke riktigt, hur en ändrad bestämmelse kommer att verka.</w:t>
        <w:br/>
        <w:br/>
        <w:t>Det kan tänkas två olika utvägar. Den ena utvägen är den, att man giver personliga dyrtidstillägg till dessa änkor, på samma</w:t>
        <w:br/>
        <w:br/>
        <w:t>Nu har i alla fall två av utskoitets ledamöter framlagt ett annat förslag, som de anse, att riksdagen skulle kunna bifalla, och det går ut på, att man skulle ändra grunderna för själva dyrtidstilläggen ifråga om reglerade pensioner, så att man skulle sänka det tal 13, med vilket minskningen av dyrtidstillägget skall ske, till 10. Detta förslag har icke blivit diskuterat inom utskottet utan har framkommit senare. Men det är i varje fall en helt annan idé än den, som man här talat om, då man tänkt sig personliga dyrtidstilllägg eller tänkt sig att skära ned för vissa, som få större pension än de som ha reglerade pensioner. Då gällde det endast större eller mindre belopp för vissa grupper. Men ändrar man procenttalet, då höjer man pensionerna för alla, och det är väl ändå icke meningen. Talet 13 har framkommit efter en undersökning, som Kungl. Maj:t alltid verkställer, och att ändra det till 10 medför, att man i ett enda slag höjer dyrtidstilläggen med en åttondel, och det kan väl icke vara möjligt, att riksdagen utan vidare kan gå in för en sådan sak.</w:t>
        <w:br/>
        <w:br/>
        <w:t>Man säger nu, att det gäller så få änkor. Det är riktigt, det är icke så många änkor, som blivit pensionerade, sedan pensionsregleringen genomförts. Men antalet ökas för varje år, och då det är så, att dessa dyrtidstillägg måhända komma att bibehållas i denna form, måste jag på det allvarligaste avråda från att ändra själva grunden för dyrtidstilläggen.</w:t>
        <w:br/>
        <w:br/>
        <w:t>Med understrykande av nödvändigheten, att det genom Kungl. Maj:ts försorg sker undersökning och att det ett annat år framlägges förslag till utjämning av de faktiska ojämnheter, som här finnas, ber jag, herr talman, att få yrka bifall till utskottets hemställan.</w:t>
      </w:r>
    </w:p>
    <w:p>
      <w:pPr>
        <w:pStyle w:val="Heading2"/>
      </w:pPr>
      <w:r>
        <w:t>3. Ernst Eriksson (Socialdemokraterna, man)</w:t>
      </w:r>
    </w:p>
    <w:p>
      <w:r>
        <w:rPr>
          <w:b w:val="0"/>
        </w:rPr>
        <w:t>Herr talman! Då första kammaren redan fattat beslut i enlighet med utskottets hemställan, föreställer jag mig, att det icke inom denna kammare kan finnas resonans för att nu biträda något annat förslag än utskottets. Emellertid måste jag för min del framhålla, att jag delar de synpunkter, som här förut framhållits av herr Höglund. Jag måste beteckna det som ganska orimligt, att de änkor efter befattningshavare, som ha en s. k. reglerad</w:t>
        <w:br/>
        <w:br/>
        <w:t>pension, skola erhålla ett mindre totalbelopp av pension och dyrtidstillägg än de änkor, som få s. k. oreglerad pension.</w:t>
        <w:br/>
        <w:br/>
        <w:t xml:space="preserve">När utskottets ärade ordförande här framhöll, att det ifråga om änkor och barn förhåller sig något annorlunda än ifråga om f. d. befattningshavare, enär änkor och barn pensioneras ur delvis enskilda </w:t>
      </w:r>
      <w:r>
        <w:rPr>
          <w:b/>
        </w:rPr>
        <w:t>änkeoch²</w:t>
      </w:r>
      <w:r>
        <w:rPr>
          <w:b w:val="0"/>
        </w:rPr>
        <w:t xml:space="preserve"> pupillkassor, i vilka delägarna själva bestämma grunderna för pensioneringen, och att detta enligt hans förmenande kunde föranleda, att delägarna höjde grunden för de äldre pensionerna och på det sättet också automatiskt höjde de reglerade pensionerna, så vill jag gentemot detta framhålla, att delägarna i detta avseende icke hava fullständig handlingsfrihet, ty beträffande de statsunderstödda </w:t>
      </w:r>
      <w:r>
        <w:rPr>
          <w:b/>
        </w:rPr>
        <w:t>änkeoch²</w:t>
      </w:r>
      <w:r>
        <w:rPr>
          <w:b w:val="0"/>
        </w:rPr>
        <w:t xml:space="preserve"> pupillkassorna få ändringar i deras reglementen icke vidtagas utan Kungl. Maj:ts sanktion, och således hava statsmakterna i detta avseende möjlighet att förhindra en åtgärd, sådan som utskottets ärade ordförande antydde skulle kunna vidtagas. När han sedan också framhöll, att det av reservanterna framställda yrkandet, att reduktionstalet 13 måtte ändras till 10, skulle medföra en höjning av pensionen även i de fall, där deh reglerade pensionen överstiger den oreglerade, när dyrtidstillägget medräknas, så vill jag framhålla, att om man gör en jämförelse beträffande förhållandena i civilstatens </w:t>
      </w:r>
      <w:r>
        <w:rPr>
          <w:b/>
        </w:rPr>
        <w:t>änkeoch²</w:t>
      </w:r>
      <w:r>
        <w:rPr>
          <w:b w:val="0"/>
        </w:rPr>
        <w:t xml:space="preserve"> pupillkassa för tjänstemännen i postverket, så skall man finna, att det i nästan alla lönegrader blir på det sättet, att den reglerade pensionen jämte dyrtidstillägg blir mindre än den oreglerade</w:t>
        <w:br/>
        <w:br/>
        <w:t>ensionen jämte därtill utgående pensionstillägg och dyrtidstillägg. fen då bli ju dessa farhågor av ganska ringa betydelse. Förhållandet är också det, att reservationen i detta avseende icke giver tillräckligt för att utjämna denna skillnad, utan även om reservationen skulle bifallas, blir i alla fall resultatet, att det blir en minskning i totalbeloppet, men denna minskning blir mindre vid ett bifall till reservationen än vid ett bifall till utskottets förslag.</w:t>
        <w:br/>
        <w:br/>
        <w:t>Som jag sade i början av mitt anförande, förutsätter jag, att utskottets förslag kommer att antagas, och jag vill då understryka den förhoppning, som uttalats i utskottets utlåtande och som alldeles särskilt underströks av utskottets ordförande, nämligen att denna fråga underkastas en mera sorgfällig granskning till ett kommande år, än vad tidigare kunnat ske, och att man då vidtager sådana ändringar i detta avseende, att de ojämnheter, som vidlåda de nuvarande bestämmelserna, kunna undanröjas. Jag har velat uttala denna förhoppning, men har, herr talman, icke något yrkande att framställa.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1609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