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466</w:t>
      </w:r>
    </w:p>
    <w:p>
      <w:r>
        <w:rPr>
          <w:b/>
        </w:rPr>
        <w:t xml:space="preserve">Datum: </w:t>
      </w:r>
      <w:r>
        <w:t>1924-04-03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 xml:space="preserve">Herr talman! Endast några få ord. Jag skall inte försöka ge mig in på vare sig juridiska eller andra utläggningar. Det är en sak här, som jag anser vara huvudsaken, och det är frågan: är detta en dålig lag eller är det inte en dålig lag? Om nu allesammans äro överens om att det är en dålig lag, så blir frågan närmast den: Får den grupp medborgare, som heröres av lagen, sin ställning på något sätt försämrad, om lagen upphäves? I och med att de frågorna äro besvarade, tycker Jag att också hela saken är klar. Frågan om det är en dålig lag har utskottets ärade ordförande, liksom utskottet, besvarat genom att säga: »Oförnekligt torde även vara, att vissa av de ännu kvarvarande bestämmelserna i legostadgan, särskilt stadgandet om husbondes rätt att, om han så vill, till tjänstetidens slut få innehålla hela den överenskomna lönen, präglas av en påtaglig obillighet emot vederbörande tjänare.» Efter de exempel, vi fått på dessa stadganden, får man säga, att detta är ett ganska milt uttalande. Men hur milt det är, dömer det dock lagen. Följaktligen: Denna lag är sådan, att man lugnt kan säga, utan att göra sig skyldig till överdrift, att den är en ovärdig lag. Det synes mig då, att det från lagstiftarens synpunkt borde vara angeläget, att en ovärdig lag icke får äga bestånd längre än nödvändigt. Det är en lag, som visserligen huvudsakligen avser endast statare, drängar och </w:t>
      </w:r>
      <w:r>
        <w:rPr>
          <w:b/>
        </w:rPr>
        <w:t>pigor³</w:t>
      </w:r>
      <w:r>
        <w:rPr>
          <w:b w:val="0"/>
        </w:rPr>
        <w:t xml:space="preserve">, men det är ett skäl till, varför vi i denna kammare skulle se till, att denna ovärdiga lag avskaffades. Ty dessa samhällsklasser kunna ju icke bli representerade här. TI all synnerhet har Ju denna kammare synnerligen kraftigt uttalat sig emot möjligheten av en sådan representation genom avslag på motionen om penningstreckets avlägsnande för några veckor sedan. Vad den </w:t>
      </w:r>
      <w:r>
        <w:rPr>
          <w:b/>
        </w:rPr>
        <w:t>kvinnliga¹</w:t>
      </w:r>
      <w:r>
        <w:rPr>
          <w:b w:val="0"/>
        </w:rPr>
        <w:t xml:space="preserve"> delen av denna grupp beträffar, är det ju, om möjligt, ännu sämre ställt med representationen i denna kammare, så obetydlig, som den </w:t>
      </w:r>
      <w:r>
        <w:rPr>
          <w:b/>
        </w:rPr>
        <w:t>kvinnliga¹</w:t>
      </w:r>
      <w:r>
        <w:rPr>
          <w:b w:val="0"/>
        </w:rPr>
        <w:t xml:space="preserve"> representationen blivit. Emellertid: då icke från</w:t>
        <w:br/>
        <w:br/>
        <w:t>framlagt.</w:t>
        <w:br/>
        <w:br/>
        <w:t>Det sades, att övergångsbestämmelsen inte är så väl formulerad. Jag vill därtill säga, att även om övergångsbestämmelsen innebär, vad herr Petrén anser att den innebär, kommer Ju lagen att äga giltighet endast för ytterst få undantagsfall, och dessa kunna icke beröra oss synnerligen djupt. Ty de tjänare, som icke begagna sig av sin uppsägningsrätt, de ha det nog i allmänhet inte så ställt, att lagen för dem kan medföra några större olyckor.</w:t>
        <w:br/>
        <w:br/>
        <w:t>Det har påpekats här av en talare, att missbruk kunna förekomma, så länge lagen består, och även om det, som utskottsmajoriteten anser, vid bifall till dess förslag skulle dröja endast några få år innan lagen blir upphävd, är detta alldeles för lång tid att låta en ovärdig lag bestå, som kan missbrukas och faktiskt missbrukas.</w:t>
        <w:br/>
        <w:br/>
        <w:t>Så vitt jag förstår, har ifrån utskottsmajoritetens sida endast på en punkt framkommit ett påpekande av att tjänarna skulle kunna bli på något sätt förfördelade genom lagens upphävande, och det är i händelse av sjukdom. TI händelse av sjukdom, säger man, har tjänaren nu skydd i legostadgan. Jag vill säga, att det skyddet i och för sig anser jag icke betyda så förfärligt mycket. Skydd i fråga om sjukdom har tjänaren i alla fall, för den händelse husbonden skulle vilja undandraga sig sina skyldigheter, på grund av kommunens skyldighet att taga hand om honom. Och Jag misstänker att tjänaren mår lika bra, om kommunen tar hand om honom, som om en tredskande husbonde skall göra det.</w:t>
        <w:br/>
        <w:br/>
        <w:t>Men är det då inte obilligt, som här påpekats, att överflytta denna börda på kommunen? Svaret torde vara, att det icke blir någon tunga att tala om, ty det kommer att inträffa endast i ytterst få undantagsfall, om ens i något fall alls, att kommunen av denna anledning får ingripa.</w:t>
        <w:br/>
        <w:br/>
        <w:t>Sålunda, herr talman, på grund av att denna lag måste betraktas — för att använda utskottets eget uttalande — såsom synnerligen obillig emot de samhällsgrupper, som lyda under densamma, och då icke något skäl kunnat anföras för alt det skulle bli sämre i stort sett för dessa människor, om lagen avskaffades, ber jag att få yrka bifall till reservationen.</w:t>
      </w:r>
    </w:p>
    <w:p>
      <w:pPr>
        <w:pStyle w:val="Heading2"/>
      </w:pPr>
      <w:r>
        <w:t>2. Halfred von Koch (–, man)</w:t>
      </w:r>
    </w:p>
    <w:p>
      <w:r>
        <w:rPr>
          <w:b w:val="0"/>
        </w:rPr>
        <w:t>Medan jag avlyssnat debatten, har jag icke kunnat undgå att finna, att den blåsts upp till allt för stora proportioner och att alltför starka ord yttrats från vissa håll. Ty den, som haft tillfälle att åhöra ordförandens i andra lagutskottet klarläggande anförande, torde väl i alla fall vara övertygad om, att meningsskiljaktighet icke råder om, att den lag, vi tala om, efterhand skall avskaffas, att den är gammalmodig och bör träda ur kraft. Det är endast fråga om på vad sätt detta skall ske. Reservanterna vilja, att man omedelbart och utan att tänka sig in i konsekvenserna skall avskaffa den. Från utskottets sida vill man däremot närmare tänka sig för, innan man tar det avgörande steget, och i samband med detta taga hänsyn till de författningar, som äga samband med stadgan. Jag tycker, att det är att en liten smula slå in öppna dörrar, då min ärade bänkkamrat här så ofantligt kraftigt bekämpar denna lagstiftning och förment stora orättvisa, och jag tycker, att herr Winberg var obillig, då han framhöll, att det skulle vara de obotfärdigas förhinder, att utskottet icke vill utan vidare stryka ett streck över denna lagstiftning. Det är åtminstone min åsikt, att legostadgan skall avskaffas, men detta bör ske på ett sådant sätt, så att det vållar så små skador, som möjligt. Jag kan inte undgå att från min egen erfarenhet vitsorda, att det finns trakter i vårt land, där kollektivavtalen mellan arbetare och arbetsgivare icke kommit i tillämpning i sådan omfattning, att de spela någon roll, och där legostadgan alltjämt ger ett visst skydd åt de stadda arbetarna. Jag har personligen kunnat iakttaga detta vid ett tillfälle, då det varit alldeles tydligt, att om inte detta skydd funnits, den ifrågavarande arbetaren, som insjuknat i svår sjukdom, skulle ha blivit mycket illa ställd, om ej legostadgan funnits. Och sådana erfarenheter gör en betänksam mot alltför hastiga förändringar.</w:t>
        <w:br/>
        <w:br/>
        <w:t>Jag är icke på något sätt motståndare till kollektivavtalen. De må sprida sig och övertaga den uppgift till skydd för arbetarna, som i stor utsträckning tidigare varit en av legostadgans uppgifter. Jag vill också säga, att man bör särskilt beakta, vad utskottet anfört, att ett upphävande av legostadgan skulle ha till följd, att husbonden befriades från skyldigheten att tillse, att arbetaren icke faller fattigvården till last. Och det bör väl i alla fall övervägas, huruvida icke vid legostadgans upphävande en ändring bör ske i fattigvårdslagen. Huruvida, reellt sett, en ändring bör företagas, det får man överväga, och det vill jag icke yttra mig om. Men det torde vara billigt och riktigt, att man i alla fall överväger frågan.</w:t>
        <w:br/>
        <w:br/>
        <w:t>Sålunda undrar jag, om man icke vid närmare eftertanke skall finna det vara ett riktigt och lämpligt steg, det som här av utskottets ordförande skisserats, och jag ber alltså att, närmast i anslutning till hans anförande, få yrka bifall till utskottets hemställan. |</w:t>
      </w:r>
    </w:p>
    <w:p>
      <w:pPr>
        <w:pStyle w:val="Heading2"/>
      </w:pPr>
      <w:r>
        <w:t>3. Gustav Möller (Socialdemokraterna, man)</w:t>
      </w:r>
    </w:p>
    <w:p>
      <w:r>
        <w:rPr>
          <w:b w:val="0"/>
        </w:rPr>
        <w:t>Jag skall icke uppehålla kammaren länge. Jag har lyssnat till denna debatt och erkänner för min del riktigheten av herr von Kochs omdöme, att frågan kan anses ha tagit alltför stora proportioner. Men, mina herrar, vem är det, som ger frågan dessa stora proportioner? Är det de, som anse, att avskaffandet av lagen icke gärna kan vara förenat med några väsentliga olägenheter, eller är det de, som för varenda gång, frågan förelagts riksdagen, alltid haft någonting att skjuta in för att komma med ett yrkande om uppskov?</w:t>
        <w:br/>
        <w:br/>
        <w:t>När man läser den mycket intressanta historik, som finnes i utskottsutlåtandet, skulle man verkligen tro, att detta vore en av landets absolut största frågor, ty någonting så märkvärdigt som avskaffandet av denna lagstiftning torde efter allt vad som anförts nästan aldrig ha föreslagits den svenska riksdagen. Detta är mitt allmänna intryck av diskussionen, och med hänsyn därtill får jag säga, att när vi nu från vårt håll för en gångs skull säga ifrån, att det får väl ändå vara slut på all denna obillighet, som alla erkänt ända sedan 1863, men mötas av svaret: Men vi måste först fråga hushållningssällskapen, då är det inte vi utan de, som stå som majoritet bakom detta utlåtande, som ge frågan större proportioner, än den rimligen borde ha.</w:t>
        <w:br/>
        <w:br/>
        <w:t xml:space="preserve">Jag ser t. ex. ett sådant namn som herr Karlssons i Gasabäck under utlåtandet. Nu är det ju allmänt intygat, att denna stadga icke tillämpas i Norrland. Jag frågar mig då, vilka förskräckliga olägenheter, som i herr Karlssons i Gasabäck trakter förefinnas därför att man icke har legostadgan. Ty det är väl inte så, att man där icke har några tjänare, utan lika väl i Norrland som i Skåne, Västergötland och Östergötland tar man väl tjänstefolk inom Jordbruket, både manliga och </w:t>
      </w:r>
      <w:r>
        <w:rPr>
          <w:b/>
        </w:rPr>
        <w:t>kvinnliga¹</w:t>
      </w:r>
      <w:r>
        <w:rPr>
          <w:b w:val="0"/>
        </w:rPr>
        <w:t>. Det får därför verkligen ursäktas oss, att vi icke kunna ta med ett så djupt allvar dessa kolossala svårigheter och olägenheter, som skulle uppstå genom legostadgans avskaffande, som t. ex. utskottets ärade ordförande eller den senaste ärade talaren, utan att vi tvärtom tycka, att man från det hållet blåser upp små, små myggor till verkliga elefanter.</w:t>
        <w:br/>
        <w:br/>
        <w:t>När jag t. ex. hör denna invändning från herr Petréns sida emot reservationens förslag till övergångsstadgande, att det där icke finns någon begränsning till tiden, måste jag ju säga mig, att det är åtminstone icke någon rationell synpunkt. Den har icke något annat verkligt intresse än möjligen litet formellt juridiskt, men den skjutes nu fram för att visa hur — vad skall jag säga? — en smula tafatta eller enfaldiga reservanterna visat sig vara. Jag kan för min del inte riktigt inse, att en sådan argumentering emot denna sak är tillfredsställande.</w:t>
        <w:br/>
        <w:br/>
        <w:t>Jag tycker nu för min del, att man borde kunna komma överens om att stryka den passus, som går ut på en närmare utredning. Ty, mina herrar, även med den tolkning av utredningskravet, som utskottets ärade ordförande gjort, är jag rädd för, att det kommer att dröja åtskilliga år ännu, innan denna — ordet är säkerligen icke för starkt — eländiga lagstiftning, som är en skam för Sveriges lagbok, äntligen blir avskaffad.</w:t>
        <w:br/>
        <w:br/>
        <w:t>Däremot kan naturligtvis den anmärkning, som gjorts rörande föreskriften i fattigvårdslagens 4 $, sägas vara allvarlig. Men, mina herrar, även den får, uppriktigt sagt, icke överdrivas. Jag tror visst, att om legostadgan upphäves eller där den icke gäller, det kan inträffa i något fall, att husbonde vill skjuta över på kommunen en fattigvårdstunga, som han enligt legostadgan skulle burit, men för det första måste detta redan vara förhållandet i vårt land på de platser, där stadgan icke tillämpas, och för det andra visar ändå all erfarenhet, att när ett steg i denna riktning tages, utjämnar livet självt sådana små svårigheter. Om nu de kollektiva avtalen få större utbredning, kommer det Ju med all säkerhet att där intagas föreskrifter om, hur tjänare skola behandlas i händelse av</w:t>
        <w:br/>
        <w:br/>
        <w:t>sjukdom, och om det icke blir så, torde väl även den tjänande, åtminstone där han själv är något så när vaken, försöka att vid de personliga tjänsteavtalens träffande trygga sig på en sådan punkt. För min del förutsätter jag, att det i allmänhet kommer att bli en utveckling fram mot kollektivavtal.</w:t>
        <w:br/>
        <w:br/>
        <w:t>Jag hade tillfälle att yttra mig i denna fråga i andra kammaren år 1918 och opponerade mig där mycket bestämt mot försöket att sammankoppla legostadgans avskaffande med kravet på en ny avtalslagstiftning. Den ståndpunkten intar jag fortfarande, och jag skall sålunda tillåta mig att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