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1643</w:t>
      </w:r>
    </w:p>
    <w:p>
      <w:r>
        <w:rPr>
          <w:b/>
        </w:rPr>
        <w:t xml:space="preserve">Datum: </w:t>
      </w:r>
      <w:r>
        <w:t>1924-05-28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Magnusson (Socialdemokraterna, man)</w:t>
      </w:r>
    </w:p>
    <w:p>
      <w:r>
        <w:rPr>
          <w:b w:val="0"/>
        </w:rPr>
        <w:t>Herr talman! TI avseende på föredragningen av andra lagutskottets utlåtande nr 27 hemställes:</w:t>
        <w:br/>
        <w:br/>
        <w:t>att för den händelse något av lagförslagen kommer att helt eller delvis återremitteras, utskottet lämnas öppen rätt att vid ärendets förnyade behandling i avseende å de delar, som blivit med eller utan ändring godkända, föreslå sådana jämkningar, som kunna föranledas av ifrågasatta ändringar i återförvisade delar samt</w:t>
        <w:br/>
        <w:br/>
        <w:t xml:space="preserve">Minst en av ledamöterna skall vara </w:t>
      </w:r>
      <w:r>
        <w:rPr>
          <w:b/>
        </w:rPr>
        <w:t>kvinna¹</w:t>
      </w:r>
      <w:r>
        <w:rPr>
          <w:b w:val="0"/>
        </w:rPr>
        <w:t>. Där så lämpligen kan ske, bör juridisk sakkunskap vara företrädd inom nämnden.</w:t>
        <w:br/>
        <w:br/>
        <w:t>I landskommun, där provinsial-, extra provinsial-, köpingseller municipalläkare är bosatt, är denne ledamot i nämnden. Äro flera sådana läkare bosatta inom kommunen, bestämmer länsstyrelsen efter anmälan från kommunalstyrelsen, vilken av dem, som skall vara ledamot.</w:t>
        <w:br/>
        <w:br/>
        <w:t xml:space="preserve">Minst en av ledamöterna skall vara </w:t>
      </w:r>
      <w:r>
        <w:rPr>
          <w:b/>
        </w:rPr>
        <w:t>kvinna¹</w:t>
      </w:r>
      <w:r>
        <w:rPr>
          <w:b w:val="0"/>
        </w:rPr>
        <w:t>. Där så lämpligen kan ske, bör juridisk sakkunskap vara företrädd inom nämnden.</w:t>
      </w:r>
    </w:p>
    <w:p>
      <w:pPr>
        <w:pStyle w:val="Heading2"/>
      </w:pPr>
      <w:r>
        <w:t>2. Anders Paulsen (Socialdemokraterna, man)</w:t>
      </w:r>
    </w:p>
    <w:p>
      <w:r>
        <w:rPr>
          <w:b w:val="0"/>
        </w:rPr>
        <w:t>Herr talman! Överhuvud taget är jag mycket belåten med det föreliggande lagförslaget, fast jag på ett par punkter har en avvikande mening. För oss, som ute i barnavårdsnämnderna hava att praktiskt syssla mpgd dessa ting, praktiskt omsätta barnavårdslagen, har det varit väldigt svårt, då det gällt barn, som varit försummade i hemmet när de icke kunnat betecknas såsom vanartiga eller sedligt försummade. Då har man endast haft 1902 års barnavårdslag att stödja sig på, och den har endast gällt barn, som varit varnartade och sedligt försummade, och hava de då varit så små, att de icke varit varken vanartade eller sedligt försummade, har man dock varit tvungen att i protokollet skriva så, för att man skulle kunna göra något med dem. Efter denna nya lag bortfaller denna svårighet; däri ges klara och bestämda linjer, huru man skall förfara, så att vi, som hava att syssla med alla dessa ting, hava all möjlig anledning att vara belåtna med ett sådant lagförslag.</w:t>
        <w:br/>
        <w:br/>
        <w:t>Vad fosterbarnskontrollen vidkommer har det varit alldeles orimligt att, såsom. hittills, släppa kontrollen över barn, som fyllt 7 år. I detta förslag blir det så, att man har kontroll över, huru fosterbarn skötas ända till 16 år. Jag tror också det är fullständigt riktigt att allt detta lägges på barnavårdsnämnden. Hittills har det varit delat upp på skilda håll, kommunalnämnd eller hälsovårdsnämnd — kommunalnämnd är i regel hälsovårdsnämnd på landsbygden — hava haft tillsyn över fosterbarnen, och barnavårdsnämnden har haft en del barn att utöva tillsyn över och fattigvårdsstyrelsen andra. Det är naturligtvis mycket nyttigt, att själva vårdnaden av barnen koncentreras, däremot är jag icke så belåten med att själva den understödjande verksamheten splittras, ty den splittras genom det nya förslaget. I utskottsbetänkandet låter det om denna sak så här: »Utskottet förbiser icke, att även med den i propositionen föreslagna gränsen mellan fattigvårdsstyrelsens och barnavårdsnämndens verksamhetsområden meningsmotsättningar mellan de båda myndigheterna någon gång kunna tänkas</w:t>
        <w:br/>
        <w:br/>
        <w:t>uppstå liksom att emellanåt ett och samma barn kan under olika perioder behöva olika slag av hjälp från det allmännas sida och därför bliva föremål för behandling av skilda myndigheter.» Ja, mina herrar, jag fruktar, att det kommer att skära sig mycket ofta mellan dessa bägge myndigheter, och jag skulle för min del tro, att det varit betydligt klokare, om vårdnaden hade varit lagd på ett håll och den understödjande verksamheten på ett annat.</w:t>
        <w:br/>
        <w:br/>
        <w:t xml:space="preserve">Är jag belåten med själva lagförslaget i och för sig, så är jag däremot så lagom belåten, när vi komma till barnavårdsnämndens sammansättning. Därutinnan hänger man sig både hos Kungl. Maj:t och i utskottet till en dyrkan av denna självskrivenhet. Den är enligt min mening alldeles förfärlig. Man tror, att man löser hela frågan med det, att man bara säger: den skall vara vald och den skall vara vald och den skall vara vald. Man säger om detta i utskottets betänkande: »I fråga om barnavårdsnämnderna tala emellertid otvivelaktigt starka skäl för lämpligheten av att genom uttryckliga lagbestämmelser söka skapa garantier för en sådan sammansättning av nämnderna, som gör dem i görligaste mån skickade för de omfattande och grannlaga uppgifter, vilka genom förevarande lagförslag anförtrotts dem.» Ja, jag skulle för min del vilja säga, att man skapar garantier för, att det icke blir vad det bör vara, och icke, som utskottet säger, att man skapar garantier för vad det bör vara. Är det då så alldeles säkert, att prästen, därför att han är präst, är lämplig att deltaga i barnavårdsnämndens arbete? Det är naturligtvis icke alldeles uteslutet, att prästen kan vara lämplig, men jag vill för min del säga, att jag har icke i något enda fall sett, att han har varit lämplig. Det finnes emellertid i vissa trakter präster, jag skulle vilja säga utomordentligt duktiga präster, men som hava varit utomordentligt likgiltiga, när det gällt dessa saker. Jag skulle kunna draga fram exempel på nämnder, där vi veta, att den självskrivne prästen, den självskrivne ordföranden, icke sammankallat till mera än ett enda sammanträde på flera år efter det 1917 års barnavårdslag kom till — och ändock vill man lagfästa, att prästen skall vara självskriven, visserligen icke som ordförande, men i varje fall som ledamot. Reservanterna hava varit stadda på rätt väg i detta fall, och jag skall, när vi hinna så långt, yrka bifall till deras reservation. — Detsamma gäller i själva verket om lärarens självskrivenhet. Det är väl ändock icke så alldeles säkert, att, därför att en person är lärare, han är intresserad av själva det sociala arbetet, själva det arbete med barn, som förekommer i barnavårdsnämnderna. Det går väl an i de större städerna och på större platser, där det finnes många att välja på, men antag en församling, där det finnes endast en lärare och en </w:t>
      </w:r>
      <w:r>
        <w:rPr>
          <w:b/>
        </w:rPr>
        <w:t>lärarinna³</w:t>
      </w:r>
      <w:r>
        <w:rPr>
          <w:b w:val="0"/>
        </w:rPr>
        <w:t xml:space="preserve"> och det gäller att välja mellan dem. Läraren kanske sysslar med auktioner, boutredningar, egendomsköp 0. s. v. Tro herrarna han har intresse av barnavård? </w:t>
      </w:r>
      <w:r>
        <w:rPr>
          <w:b/>
        </w:rPr>
        <w:t>Lärarinnan³</w:t>
      </w:r>
      <w:r>
        <w:rPr>
          <w:b w:val="0"/>
        </w:rPr>
        <w:t xml:space="preserve"> är kanske en ung tös på 22 år eller så där. Icke tror jag </w:t>
      </w:r>
      <w:r>
        <w:rPr>
          <w:b/>
        </w:rPr>
        <w:t>hon²</w:t>
      </w:r>
      <w:r>
        <w:rPr>
          <w:b w:val="0"/>
        </w:rPr>
        <w:t xml:space="preserve"> har intresse för denna sak. Eller också kanske lärarinnnan är gammal, nervös och utsliten. Då får barnavårdsnämnden dragas med dessa människor, om de än äro aldrig så olämpliga, eftersom det i lagen är fastslaget, att man skall välja en av dem.</w:t>
        <w:br/>
        <w:br/>
        <w:t>Det är också en annan sak, som jag skulle vilja peka på, och det är, att jag i en motion har föreslagit att länsstyrelsen i stället för Kungl. Maj:t borde kunna anförtros att pröva ansökningar om befrielse från skyldighet att hava särskild barnavårdsnämnd. Jag tycker för min del, att det är en alldeles för liten fråga att gå till Kungl. Maj:t med. Om Kungl. Maj:t skall avgöra en sådan fråga, kommer beslutet i varje fall att byggas på länsstyrelsens undersökning och utlåtande, och då tycker jag det icke är någon mening med att gå till Kungl. Maj:t därmed. Jag fäster icke mycken vikt vid den saken, vill kammaren hellre, att man skall gå till Kungl. Maj:t, gärna för mig.</w:t>
        <w:br/>
        <w:br/>
        <w:t>Herr talman, jag ber att få yrka bifall till den av herr Hagman m. fl. avgivna reservationen.</w:t>
      </w:r>
    </w:p>
    <w:p>
      <w:pPr>
        <w:pStyle w:val="Heading2"/>
      </w:pPr>
      <w:r>
        <w:t>3. Värner Ryden (Socialdemokraterna, man)</w:t>
      </w:r>
    </w:p>
    <w:p>
      <w:r>
        <w:rPr>
          <w:b w:val="0"/>
        </w:rPr>
        <w:t xml:space="preserve">Herr talman! Inför den önskan, som torde finnas både hos talmannen och kammaren att kunna sluta föredragningslistan före middagen, skall jag inskränka mitt anförande till några mycket korta ord. Jag kommer att föreslå, att kammaren måtte bifalla ett yrkande, som första kammaren redan har bifallit, och som går ut på att i motiveringen till andra lagutskottets förevarande utlåtande på sidan 18 efter kommentaren till 23 $ insätta ett nytt stycke såsom kommentar till 24 $, och detta nya stycke skulle lyda på följande sätt: »24 $. I anslutning till utskottets tidigare uttalande om nödvändigheten av försiktighet och varsamhet vid prövning av frågan om vanartade barns omhändertagande vill utskottet även i nu förevarande sammanhang framhålla angelägenheten av att vederbörande statliga myndigheter och befattningshavare hos barnavårdsnämnderna inskärpa, att sådant omhänderlagande icke må äga rum utan den mest omsorgsfulla prövning. Särskilt gäller detta i de fall, då skyddsuppfostran icke kan beredas i annan form än genom intagning i skyddshem. Enkannerligen bör noggrant tillses, att intagande i skyddshem av i sedligt avseende vanartade </w:t>
      </w:r>
      <w:r>
        <w:rPr>
          <w:b/>
        </w:rPr>
        <w:t>flickor²</w:t>
      </w:r>
      <w:r>
        <w:rPr>
          <w:b w:val="0"/>
        </w:rPr>
        <w:t xml:space="preserve"> i åldern 16—18 år icke äger rum i sådana fall, då deras tillrättaförande härförutan kan förväntas ske.»</w:t>
        <w:br/>
        <w:br/>
        <w:t xml:space="preserve">Denna kommentar till 24 $ är som jag nyss nämnde utan votering antagen i första kammaren. Då jag har ställt mig som förslagsställare härför, ger jag ett uttryck åt vissa betänkligheter beträffande detta förslag till barnavårdslag i vad den avser höjning av minderårighetsåldern. Efter den mycket ingående revision, som ägt rum, sedan detta förslag först presenterades av fattigvårdslagstiftningskommittén och då jag lovat vara kort, skall jag endast säga, att jag vädjar till alla dem, som få med handhavandet av barnavårdslagen att göra, att de måtte handhava den med synnerligt förstånd, när det gäller de nya grupper, som nu komma in under lagen, nämligen dem mellan 15 och 18 år. Jag befarar, att det beträffande storstäderna kan föreligga mycket stora faror och olägenheter, ifall denna lag skulle handhavas med bristande omdöme och förstånd, om det skulle till exempel komma att gå på det sättet, att polismyndigheterna i de större städerna skulle med vissa mellanrum igångsätta razzior ibland till exempel </w:t>
      </w:r>
      <w:r>
        <w:rPr>
          <w:b/>
        </w:rPr>
        <w:t>flickor²</w:t>
      </w:r>
      <w:r>
        <w:rPr>
          <w:b w:val="0"/>
        </w:rPr>
        <w:t xml:space="preserve">, som föra ett sedeslöst liv på gator eller i danslokaler, och man komme att förfara på det sättet att sortera upp dem efter ålder, så att de som vore över 18 år behandlades efter lösdrivarlagen och de som vore under 18 år behandlades efter denna lag. Det skulle då kunna uppkomma mycket olidliga och svåra förhållanden med en tyngande skyldighet för städerna att upprätta och underhålla skyddshem och sådant. Det skulle också kunna bliva mycket farligt, om man icke handhade lagen med klokt omdöme, man skulle kunna göra skada beträffande åtskilliga av dessa unga </w:t>
      </w:r>
      <w:r>
        <w:rPr>
          <w:b/>
        </w:rPr>
        <w:t>flickor²</w:t>
      </w:r>
      <w:r>
        <w:rPr>
          <w:b w:val="0"/>
        </w:rPr>
        <w:t>, som kanske, ifall myndigheterna icke toge hand om dem, låt oss säga med tiden kunde upprättas till ordentliga människor, medan de däremot, om de i denna unga ålder finge anstaltsstämpel på sig, skulle förlora möjlighet att resa sig i livet. Det är i denna punkt, som jag haft vissa betänkligheter. Jag förstår fullständigt alla de skäl, som tala för att höja denna ålder, och jag hoppas, att, då myndigheterna nu få detta starka medel i sin hand beträffande ungdomsåldern, dessa myndigheter måtte med förstånd och varsamhet handhava denna lagstiftning, så att den blir till välsignelse och nytta för de unga, och att man icke använder lagen på sådant sätt, att den kommer att bliva av motsatt verkan mot vad den är avsedd.</w:t>
        <w:br/>
        <w:br/>
        <w:t>Jag yrkar sålunda, herr talman, den ändring i motiveringen, som innefattas 1 vad jag nyss uppläst.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