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1661</w:t>
      </w:r>
    </w:p>
    <w:p>
      <w:r>
        <w:rPr>
          <w:b/>
        </w:rPr>
        <w:t xml:space="preserve">Datum: </w:t>
      </w:r>
      <w:r>
        <w:t>1925-04-29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(Bondeförbundet, man)</w:t>
      </w:r>
    </w:p>
    <w:p>
      <w:r>
        <w:rPr>
          <w:b w:val="0"/>
        </w:rPr>
        <w:t>Herr talman! Vid ifrågavarande punkt av utskottets förslag hava åtskilliga av statsutskottets ledamöter avgivit en reservation. Och anledningen till att vi så gjort är den, att vi tycka, att det här statsanslaget nästan verkar en liten smula för smått.</w:t>
        <w:br/>
        <w:br/>
        <w:t xml:space="preserve">Det gäller nämligen, att statens järnvägars </w:t>
      </w:r>
      <w:r>
        <w:rPr>
          <w:b/>
        </w:rPr>
        <w:t>änkeoch²</w:t>
      </w:r>
      <w:r>
        <w:rPr>
          <w:b w:val="0"/>
        </w:rPr>
        <w:t xml:space="preserve"> pupillkassa skulle få ersättning för porto för av densamma distribuerat dyrtidstillägg till kassans pensionärer. Och detta dyrtidstillägg har staten beviljat pengar till. När man vet, att det gäller en kassa, som, för så vitt de uppgifter jag fått i statsutskottet äro riktiga, har fonder på bortåt femtio miljoner kronor, lär väl ingen kunna påstå, att 20,000 kronor egentligen spela någon roll för kassans säkerhet och likviditet. Och över huvud kan man väl ändå icke värja sig för den reflexionen, att när man får pengar av staten till dyrtidstillägg, så att säga, utanför kassans övriga inkomster, det då icke skulle vara för mycket begärt, om kassan verkställde distributionen av dessa medel, vilken, som jag antar, sker i sammanhang med utbetalandet av pensionerna, och att man icke såg så ytterst smått på detta och krävde betalning även för portot. Det var den uppfattningen, som</w:t>
        <w:br/>
        <w:br/>
        <w:t>gjordes gällande hos oss reservanter inom statsutskottet, att vi ansågo detta statsanslag vara absolut obehövligt, ifrån vilken sida och ur vilken synvinkel man än såg frågan.</w:t>
        <w:br/>
        <w:br/>
        <w:t>Jag har icke kunnat finna annat, än att detta skäl bör räcka, och därför ber jag, herr talman, att utan vidare få yrka avslag på utskottets hemställan och bifall till den av herr Nilsson i Gränebo m. fl. avgivna reservationen.</w:t>
      </w:r>
    </w:p>
    <w:p>
      <w:pPr>
        <w:pStyle w:val="Heading2"/>
      </w:pPr>
      <w:r>
        <w:t>2. Anders Råstock (Socialdemokraterna, man)</w:t>
      </w:r>
    </w:p>
    <w:p>
      <w:r>
        <w:rPr>
          <w:b w:val="0"/>
        </w:rPr>
        <w:t>Herr talman! Som herr Olsson i Kullenbergstorp redan anfört, avser här ifrågavarande anslag ersättning för portokostnader vid dyrtidstilläggens distribution.</w:t>
        <w:br/>
        <w:br/>
        <w:t xml:space="preserve">Jag trodde, när herr Olsson i Kullenbergstorp yttrade sig så pass utförligt, som han gjorde, att han också skulle tala om, att denna kassa i olikhet med andra kassor av samma slag icke har fribrevsrätt. Det är nämligen detta, som är anledningen till, att denna kassa begärt att få portona ersatta. Det finns icke — såvitt jag vet — en enda annan kassa, som icke fått det, och då får man icke förundra sig över, att statens järnvägars </w:t>
      </w:r>
      <w:r>
        <w:rPr>
          <w:b/>
        </w:rPr>
        <w:t>änkeoch²</w:t>
      </w:r>
      <w:r>
        <w:rPr>
          <w:b w:val="0"/>
        </w:rPr>
        <w:t xml:space="preserve"> pupillkassa också vill ha ersättning för dessa kostnader.</w:t>
        <w:br/>
        <w:br/>
        <w:t>Sedan skall jag icke ge mig in på någon längre utläggning av kassans förmåga att bära sina kostnader eller utgifter. Men jag kan försäkra herrarna, att jag saknar icke material till det. Jag vill endast passa på att här slå fast, att ett löst antagande, att en kassa är bärkraftig, därför att den har så och så många miljoner i pensionsfonden, är den mest lösa sand att bygga ett yrkande - på, som över huvud kan tänkas. Ty det är på det sättet, att en pensionskassa får icke sitt reglemente godkänt med mindre än att det befinnes, att även ansvarsförbindelserna mot delägarna och deras efterlevande kunna fyllas. Det är detta, som icke av statsrevisorerna undersökts i detta fall. Och det är därför man icke vet, vad kassan har att röra sig med. Så länge man icke känner omfattningen av dessa ansvarsförbindelser, kan man icke heller bedöma, hur pass bärkraftig kassan är.</w:t>
        <w:br/>
        <w:br/>
        <w:t xml:space="preserve">Jag ber att få begagna tillfället påpeka, att både arméns, flottans och civilstatens </w:t>
      </w:r>
      <w:r>
        <w:rPr>
          <w:b/>
        </w:rPr>
        <w:t>änkeoch²</w:t>
      </w:r>
      <w:r>
        <w:rPr>
          <w:b w:val="0"/>
        </w:rPr>
        <w:t xml:space="preserve"> pupillkassor hava vissa förvaltningsbidrag, och att dessa bidrag fördelats på sådant sätt, att år 1921 var det för arméns </w:t>
      </w:r>
      <w:r>
        <w:rPr>
          <w:b/>
        </w:rPr>
        <w:t>änkeoch²</w:t>
      </w:r>
      <w:r>
        <w:rPr>
          <w:b w:val="0"/>
        </w:rPr>
        <w:t xml:space="preserve"> pupillkassa en förvaltningskostnad per delägare av 10 kronor 39 öre. För civilstatens </w:t>
      </w:r>
      <w:r>
        <w:rPr>
          <w:b/>
        </w:rPr>
        <w:t>änkeoch²</w:t>
      </w:r>
      <w:r>
        <w:rPr>
          <w:b w:val="0"/>
        </w:rPr>
        <w:t xml:space="preserve"> pupillkassa gick denna kostnad endast upp till 2 kronor 52 öre per delägare, under det att den vid statens järnvägars </w:t>
      </w:r>
      <w:r>
        <w:rPr>
          <w:b/>
        </w:rPr>
        <w:t>änkeoch²</w:t>
      </w:r>
      <w:r>
        <w:rPr>
          <w:b w:val="0"/>
        </w:rPr>
        <w:t xml:space="preserve"> pupillkassa icke går upp till mer än 2 kronor 39 öre per delägare. Som herrarna höra, är det bidrag, som staten lämnar till förvaltningskostnaderna, betydligt mindre vid denna kassa än vid de andra.</w:t>
        <w:br/>
        <w:br/>
        <w:t xml:space="preserve">Jag skall icke trötta med någon längre utläggning. Då denna utgift är ägnad att ställa denna kassa så att säga på samma linje med övriga </w:t>
      </w:r>
      <w:r>
        <w:rPr>
          <w:b/>
        </w:rPr>
        <w:t>änkeoch²</w:t>
      </w:r>
      <w:r>
        <w:rPr>
          <w:b w:val="0"/>
        </w:rPr>
        <w:t xml:space="preserve"> pupillkassor inom statens verk, kan jag icke se, varför icke kammaren här med största samvetslugn kan gå på bifall till utskottets förslag.</w:t>
        <w:br/>
        <w:br/>
        <w:t>Herr talman!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