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1669</w:t>
      </w:r>
    </w:p>
    <w:p>
      <w:r>
        <w:rPr>
          <w:b/>
        </w:rPr>
        <w:t xml:space="preserve">Datum: </w:t>
      </w:r>
      <w:r>
        <w:t>1925-05-22</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Johan Olofsson (Folkpartiet, man)</w:t>
      </w:r>
    </w:p>
    <w:p>
      <w:r>
        <w:rPr>
          <w:b w:val="0"/>
        </w:rPr>
        <w:t xml:space="preserve">Herr talman! Jag skall gärna erkänna, att ifrågavarande lag i många fall är en god lag och har stor betydelse. Men jag känner också till exempel, som kan leda till oegentligheter. En hemmansägare 1 Jämtland har till exempel haft s. k. dagsverkstorpare — dessa börja nu bli gammalmodiga men de voro förr gauska vanliga, och han har till en sådan torpare, kanske en gammal trotjänare, lämnat ut en jordbit och hjälpt honom med ett eget hem för livstiden och även för hans </w:t>
      </w:r>
      <w:r>
        <w:rPr>
          <w:b/>
        </w:rPr>
        <w:t>hustrus²</w:t>
      </w:r>
      <w:r>
        <w:rPr>
          <w:b w:val="0"/>
        </w:rPr>
        <w:t xml:space="preserve"> livstid. Det har varit en stor fördel även för bonden att kunna tillkalla denna trotjänare. när han haft behov av dagsverke. Men så har trotjänaren dött och </w:t>
      </w:r>
      <w:r>
        <w:rPr>
          <w:b/>
        </w:rPr>
        <w:t>änkan²</w:t>
      </w:r>
      <w:r>
        <w:rPr>
          <w:b w:val="0"/>
        </w:rPr>
        <w:t xml:space="preserve"> tillträtt lägenheten, och de ha söner och </w:t>
      </w:r>
      <w:r>
        <w:rPr>
          <w:b/>
        </w:rPr>
        <w:t>döttrar²</w:t>
      </w:r>
      <w:r>
        <w:rPr>
          <w:b w:val="0"/>
        </w:rPr>
        <w:t xml:space="preserve">, varigenom det kommit så att säga nytt folk i familjen. Det har sålunda inte varit detsamma, som när den gamle trotjänaren levde, utan förhållandena hava hela och hållet omdanats. Bonden skulle nämligen icke under några omständigheter ha upplåtit jordbiten till den nuvarande familjen. I dylika fall skuile det ställa sig ganska hårt, om </w:t>
      </w:r>
      <w:r>
        <w:rPr>
          <w:b/>
        </w:rPr>
        <w:t>änkan²</w:t>
      </w:r>
      <w:r>
        <w:rPr>
          <w:b w:val="0"/>
        </w:rPr>
        <w:t xml:space="preserve"> och barnen skulle kunna lösa till sig jordområdet. Många gånger blir därför lagen orimlig, och den strider för övrigt helt och hållet mot äganderättsprincipen. Det var ju ursprungligen, i det fall jag nämnde, en uppgörelse mellan trotjänaren och bonden, och man kunde aldrig tänka sig, att lagen skulle skära bort villkoren vid denna uppgörelse. Jag lutar åt det hållet, att man bör ha en sådan närmare utredning, varom herr Lindman talade, och jag kommer antagligen att rösta för avslag på föreliggande lagförslag. Vi få lov att först pröva den lag, vi redan ha, och utreda saken litet bättre, innan vi gå till en ändring.</w:t>
      </w:r>
    </w:p>
    <w:p>
      <w:pPr>
        <w:pStyle w:val="Heading2"/>
      </w:pPr>
      <w:r>
        <w:t>2. Algot Törnkvist (Socialdemokraterna, man)</w:t>
      </w:r>
    </w:p>
    <w:p>
      <w:r>
        <w:rPr>
          <w:b w:val="0"/>
        </w:rPr>
        <w:t>Herr talman! Jag begärde ordet, när herr Lindman efterlyste exempel på verkningarna av bestämmelsen om 200-metersoränsen och icke var belåten med de exempel, som herr justitieministern lämnat. Jag mottog en gång under fjolåret en deputation i Karlskrona från ett samhälle där nere i trakten, och därvid meddelade man mig, att ett stort antal av husägarna på ofri grund icke hade någon nytta av ensittarlagen, därför att de hade sina hus i sådan närhet av ägarnas bostäder, att de ligga inom nämnda gräns. Det gällde där ett flertal fall i en klump, och ehuru jag inte funnit anledning i övrigt att undersöka, hur det förhåller sig därvidlag i de clika byarna i Blekinge, har jag det intrycket, att det finns ett flertal exempel av liknande beskaffenhet att tillgå. Det var endast den upplysningen jag ville lämna.</w:t>
      </w:r>
    </w:p>
    <w:p>
      <w:pPr>
        <w:pStyle w:val="Heading2"/>
      </w:pPr>
      <w:r>
        <w:t>3. Arvid Lindman (Högerns riksdagsgrupp, man)</w:t>
      </w:r>
    </w:p>
    <w:p>
      <w:r>
        <w:rPr>
          <w:b w:val="0"/>
        </w:rPr>
        <w:t>Herr talman! Jag begärde ordet för att ge en replik till herr justitieministern.</w:t>
        <w:br/>
        <w:br/>
        <w:t>Herr statsrådet nämnde, att jag icke anfört några exempel till stöd för reservationen, under det att herr statsrådet å sin sida kommit med tre stycken. Nej,</w:t>
        <w:br/>
        <w:br/>
        <w:t xml:space="preserve">Jag har icke anfört några exempel, och jag ämnar icke anföra några, ty jag menar, att de bevisa ingenting. Det är tvärtom att fullständigt vanställa saken att till stöd för sin framställning läsa upp exempelvis ett brev från en stackars gumma, som påstår, att </w:t>
      </w:r>
      <w:r>
        <w:rPr>
          <w:b/>
        </w:rPr>
        <w:t>hon²</w:t>
      </w:r>
      <w:r>
        <w:rPr>
          <w:b w:val="0"/>
        </w:rPr>
        <w:t xml:space="preserve"> blivit illa behandlad, utan att samtidigt tala om, vad den andra parten har att säga.</w:t>
        <w:br/>
        <w:br/>
        <w:t>Jag kan i alla fall, herr talman, nämna ett fall, som jag själv upplevat, fastän det inte alls har att göra med denna sak. Det var två stycken hemmansägare, självägande bönder, som bodde alldeles för sig i skogen på sina gårdar; det fanns inga andra gårdar alls i närheten. På en skogsvandring tog jag in på den ena gården och kom att språka med gubben, som rådde om densamma. Jag sade då, att det var väl litet ensligt i skogen, men att det väl var trevligt att ha en granne i alla fall. Ja, svarade han, nog har jag en granne, men om det är trevligt lämnar jag därhän, ty för trettiofem år sedan kommo vi i gräl om en gärdesgård, och sedan ha vi inte talat med varandra! På det sättet kan det komma att ställa sig även för personer, som vilja lösa, och den, som äger den Jord, varom det är fråga.</w:t>
      </w:r>
    </w:p>
    <w:p>
      <w:pPr>
        <w:pStyle w:val="Heading2"/>
      </w:pPr>
      <w:r>
        <w:t>4. Raoul Hamilton (Frisinnade folkpartiet, man)</w:t>
      </w:r>
    </w:p>
    <w:p>
      <w:r>
        <w:rPr>
          <w:b w:val="0"/>
        </w:rPr>
        <w:t xml:space="preserve">Herr talman! Det fall som herr Lindman nämnde om trotjänaren, som fått en stuga upplåten åt sig, får vil betraktas såsom undantagsfall, ty trotjänarna få ju åtminstone i allmänhet bo i husbondens hus. Om emellertid den jordbit, på vilket ett hus ligger, utan avsevärda olägenheter för jordägaren kan övertagas av </w:t>
      </w:r>
      <w:r>
        <w:rPr>
          <w:b/>
        </w:rPr>
        <w:t>änkan²</w:t>
      </w:r>
      <w:r>
        <w:rPr>
          <w:b w:val="0"/>
        </w:rPr>
        <w:t xml:space="preserve"> till en dylik trotjänare, som har hela sin lilla förmögenhet i en stuga på annans grund. är väl detta endast en gärd av rättvisa.</w:t>
        <w:br/>
        <w:br/>
        <w:t>Jag frågade nyss, hur länge vi skulle vänta på att få en lagstiftning, som berättigade ensittarna att inlösa sina lägenheter även på kronojord och ecklesiastika boställen. Denna fråga är av allra största betydelse, därför att i många stationssamhällen ligga husen just på kyrkoherdeboställens mark. Jag beklagar, att vi icke fått något förslag med anledning av den skrivelse, som riksdagen förlidet år avlät i ämnet, men kunde jag i dag få ett svar från statsrådsbänken därpå, hur frågan ligger till, vore det för mig och säkerligen många andra synnerligen angenämt.</w:t>
        <w:br/>
        <w:br/>
        <w:t>Ej heller äger lösningsrätt rum, därest avståendet av den till lösning ifrågasatta marken skulle medföra avsevärd olägenhet för huvudfastighet eller därmed sambrukad, jordägaren tillhörig fastighet. Kan sådan olägenhet undvikas därigenom, att från lösning undantages viss del av marken, annan än den, varå nyttjanderättshavarens boningshus är beläget, äge lösningsrätt rum till marken i övrigt. Vid bedömande, huruvida utövande av lösningsrätt skulle medföra olägenhet, som ovan sägs, må hänsyn icke tagas till anordning, som prövas hava vidtagits i syfte att förhindra utövande av lösningsrätt.</w:t>
        <w:br/>
        <w:br/>
        <w:t>»Ej heller äger lösningsrätt rum, därest avståndet av den till lösning ifrågasatta marken skulle medföra avsevärd olägenhet för huvudfastighet eller därmed sambrukad, jordägaren tillhörig fastighet. Såsom sådan olägenhet skall anses, att jordägaren å huvudfastigheten eller därmed sambrukad, jordägaren tillhörig fastighet den 1 januari 1919 ägde och vid den tid, då ansökan om utövande av lösningsrätt göres, fortfarande äger boningshus, tomtplats eller trädgård på mindre avstånd än etthundra meter från den till lösning ifrågasatta marken. Kan olägenhet undvikas därigenom, att från lösning undantages viss del av marken, annan än den, varå nyttjanderättshavarens boningshus är beläget, äge lösningsrätt rum till marken i övrigt. Vid bedömande, huruvida utövande av lösningsrätt skulle medföra olägenhet, må hänsyn icke tagas till anordning, som prövas hava vidtagits i syfte att förhindra utövande av lösningsrätt.»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1669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