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1731</w:t>
      </w:r>
    </w:p>
    <w:p>
      <w:r>
        <w:rPr>
          <w:b/>
        </w:rPr>
        <w:t xml:space="preserve">Datum: </w:t>
      </w:r>
      <w:r>
        <w:t>1927-05-04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Paulsen (Socialdemokraterna, man)</w:t>
      </w:r>
    </w:p>
    <w:p>
      <w:r>
        <w:rPr>
          <w:b w:val="0"/>
        </w:rPr>
        <w:t>Herr talman! När man genom 1918 års fattigvårdslag medgav kommunerna en tid av 10 år att ordna sin anstaltsfråga, ansåg man tydligen, att de erhållit en tillräckligt lång tidsfrist för ändamålet. En hel del kommuner grepo sig också an med uppgiften, men det fanns naturligtvis också andra, som läto de ekonomiska synpunkterna bli ensamt bestämmande och för-</w:t>
        <w:br/>
        <w:br/>
        <w:t>härskande härvidlag, så att man genast var färdig att gå in för ett uppskov. Vid föregående års riksdag tillerkändes kommunerna ytterligare två års uppskov med anordnande av ifrågavarande angelägenhet. Nu anses icke heller detta vara tillräckligt, utan än mer uppskov begäres.</w:t>
        <w:br/>
        <w:br/>
        <w:t>Kungl. Maj:ts förslag går ut på att tvinga sådana kommuner, som icke själva vilja ordna sin anstaltsfråga, att följa gällande fattigvårdslag. Vi veta då alla, att det är mycket svårt för små kommuner att ordna denna fråga på ett lämpligt sätt. De måste därför slå sig i hop till kommunalförbund för att vinna en ordentlig lösning av frågan. Reservationen går nu helt enkelt ut därpå, att man skall ge Kungl. Maj:t rätt att tvinga kommunerna i sådant hänseende.</w:t>
        <w:br/>
        <w:br/>
        <w:t xml:space="preserve">Nu säger herr Ödström, att det icke är bra att komma med ett sådant tvång. Nej, det må väl vara, men det är ju icke avsikten att tvinga andra kommuner än dem, som icke vilja godvilligt lösa anstaltsfrågan. Herr Ödström framhåller också, att det är bättre, att de fattiga få bo kvar i sina gamla bostäder än flyttas till anstalter. Ja, det är alldeles riktigt. Vi människor äro nu en gång sådana, att vi hellre vilja bo i små låga kyffen och åtnjuta kontant understöd, så länge man kan reda sig. Men när människan blir mycket gammal, kan slutligen den dag komma, då </w:t>
      </w:r>
      <w:r>
        <w:rPr>
          <w:b/>
        </w:rPr>
        <w:t>hon²</w:t>
      </w:r>
      <w:r>
        <w:rPr>
          <w:b w:val="0"/>
        </w:rPr>
        <w:t xml:space="preserve"> icke kan taga vara på sig själv; då måste ordentlig vård beredas </w:t>
      </w:r>
      <w:r>
        <w:rPr>
          <w:b/>
        </w:rPr>
        <w:t>henne²</w:t>
      </w:r>
      <w:r>
        <w:rPr>
          <w:b w:val="0"/>
        </w:rPr>
        <w:t xml:space="preserve"> på annat sätt, och detta kan icke ske annat än på ålderdomshem. Det är den möjligheten, man här vill understödja.</w:t>
        <w:br/>
        <w:br/>
        <w:t>Herr Björklund menade, att man först borde få frågan om vård åt kroniskt sjuka och åt sinnessjuka och sinnesslöa löst, och han framdrog, hur man arbetade i en kommitté i de båda Skånelänen i det fallet. Vad han här uppger är alldeles riktigt, men jag förstår icke, hur den saken kan höra hit. Det finns väl ingen förnuftig människa, som vill, att kommunerna skola anordna sin anstaltsvård med tanke på de sinnessjuka, sinnesslöa och kroniskt sjuka. Detta är en sak, som staten bör ordna, och om staten icke gör det, blir det landstingens angelägenhet. Först i tredje hand kan det komma i fråga, att kommunerna åtaga sig denna omsorg.</w:t>
        <w:br/>
        <w:br/>
        <w:t>För min del tycker jag det vore alldeles orimligt att här icke följa reservationen. Kungl. Maj:t bör väl ha möjlighet att se till, att den gällande lagen</w:t>
        <w:br/>
        <w:br/>
        <w:t>följes, och jag ber därför, herr förste vice talman, att få yrka bifall till reservationen.</w:t>
      </w:r>
    </w:p>
    <w:p>
      <w:pPr>
        <w:pStyle w:val="Heading2"/>
      </w:pPr>
      <w:r>
        <w:t>2. Gustav Mosesson (Frisinnade folkpartiet, man)</w:t>
      </w:r>
    </w:p>
    <w:p>
      <w:r>
        <w:rPr>
          <w:b w:val="0"/>
        </w:rPr>
        <w:t>Herr talman! Sedan herr Ödström fäst uppmärksamheten på det såsom någonting betänkligt, att reservanterna samtliga voro stadsbor, har han fått understöd av en stadsbo, som har ett känt intresse för de fattiga. Och sedan herr Hage fäst uppmärksamheten på, att icke någon av dem, som tillhöra regeringspartiet, stode med för detta Kungl. Maj:ts förslag, har han sett sig stå i oppositionsställning till en partikamrat, vilkens sociala intressen herr Hage är den siste att bestrida. Detta lyckliga förhållande, menar jag, gör, att vi här alldeles lidelsefritt utan hänsyn till land och stad, utan hänsyn till politisk uppfattning, kunna bedöma denna fråga såsom en lämplighetsfråga.</w:t>
        <w:br/>
        <w:br/>
        <w:t>Då vill jag, såsom några redan gjort, uttala den önskan och den förväntan, att ifrån regeringens sida till fattigvårdskonsulenter och till andra, som få med denna sak att göra, en allvarlig erinran riktas därom — om det nu annars skall behöva sägas till dessa förtroendemän, men vissa omständigheter göra, att jag vågar uttala det — att det är nödvändigt att man härvidlag tar hänsyn till de av det allmänna beslutade åtgärderna om sinnessjukas och sinnesslöas omhändertagande, alltså åtgärder, som staten eller landstingen stå i begrepp att</w:t>
        <w:br/>
        <w:br/>
        <w:t>vidtaga, så att icke dessa kostbara byggnader komma att få en större omfattning, än som är absolut nödvändigt med hänsyn till de förhållanden, som man på goda grunder beräknar kunna inträffa, varigenom man skulle åsamka vederbörande primärkommuner onödiga kostnader. Vi böra med andra ord — för den enligt min mening lyckligt avfattade fattigvårdslagens skull och för de fattigas egen skull — akta oss för att icke de olycksbådande tendenser till reaktion, som vi nu ha sett, bliva allmänna, varigenom ett bakslag skulle åstadkommas, som skulle vålla oss svårigheter i socialt hänseende.</w:t>
        <w:br/>
        <w:br/>
        <w:t>Nu kan jag icke förstå annat, än att man under denna debatt och även vid behandlingen i utskottet har fört tillsammans saker, som icke med nödvändighet höra tillsammans. Ty detta beslut om uppskov under några år äro vi väl eniga om skall bestå. Intet intrång i det avseendet skall Ju äga rum. Och vi få väl också tänka oss, att vi äro eniga därom, att de åtgärder, som lagen av 1918 stadgar, skola effektueras, så att man icke här gömmer någon tanke på att komma ifrån detta. Vi tala här i dag om två saker, som icke med nödvändighet höra tillsammans.</w:t>
        <w:br/>
        <w:br/>
        <w:t>Hur skall man göra med kommuner, som var för sig äro så små, att när de skola vidtaga de åtgärder, som de författningsenligt äro pliktiga vidtaga, överstiga dessa åtgärder antingen kommunernas bärkraft, eller också tillgodose de icke berättigade krav på en god vård för de ensamma och fattiga? Skall man då härvidlag antingen se kommunens bärkraft brista, därför att den tvingas att fullgöra statsmakternas vilja, eller låta lagens anda åsidosättas, för att den ekonomiska förmågan brister hos vederbörande kommun? Om nu åtminstone hälften av de kommuner, som det gäller, anser, att en föreslagen åtgärd om samarbete mellan några kommuner är lämplig, men det så är en kommun, som, om jag får använda det elaka ordet, trilskas, skall man då stå alldeles maktlös härvidlag? Jag kan icke förstå annat, än att reservanternas förslag är så försiktigt, att riksdagen verkligen kan taga på sig ansvaret att besluta i överensstämmelse med reservationen.</w:t>
        <w:br/>
        <w:br/>
        <w:t>Till denna ber jag, herr talman, att få yrka bifall.</w:t>
      </w:r>
    </w:p>
    <w:p>
      <w:pPr>
        <w:pStyle w:val="Heading2"/>
      </w:pPr>
      <w:r>
        <w:t>3. Samuel Hedlund (Jordbrukarnas fria grupp, man)</w:t>
      </w:r>
    </w:p>
    <w:p>
      <w:r>
        <w:rPr>
          <w:b w:val="0"/>
        </w:rPr>
        <w:t>Herr talman! Om Jag ett enda ögonblick skulle tro, att det förslag till tvångsåtgärder, som Kungl. Maj:t framburit, i någon mån skulle kränka den kommunala självbestämningsrätten, skulle Jag utan tvekan yrka avslag på hela framställningen. Jag har nämligen under min tjänst som fattigvårdskonsulent tillräckligt kommit underfund med, att det finns ingenting, som mera hjälpt fram fattigvården i detta land än kommunernas frihet att ordna saken efter egna initiativ. Alla de ekonomiska uppoffringar, kommunerna underkastat sig, ha de gjort frivilligt, ehuru lagen anvisat utvägar och man till kommunernas hjälp ställt vissa tjänstemän, som icke ha annan uppgift än att vara rådgivande på detta område.</w:t>
        <w:br/>
        <w:br/>
        <w:t>Vi ha också på frivillighetens väg kommit ofantligt långt. Detta innebär emellertid icke, att alla kommuner äro besjälade av samma intresse att ordna förevarande angelägenhet som majoriteten kommuner. Jag skulle nu icke ge min röst för förslaget om tvångssammanslutning, om jag icke visste, att upphovsmannen till detsamma behärskas av precis samma uppfattning som jag i fråga om kommunernas rörelsefrihet. Vi fattigvårdskonsulenter äro fullständigt eniga med statens fattigvårdsinspektör därom, att alla arbeten helst böra ske på frivillighetens väg och att vi böra råda och uppmuntra kommunerna att frivilligt lösa ifrågavarande spörsmål. Men konsulenterna i de distrikt, där de små kommunerna finnas, ha framhållit, att visst råder ett stort intresse bland flertalet kommuner att här komma till en lösning av den kommunala</w:t>
        <w:br/>
        <w:br/>
        <w:t>kostsamt dels i anläggning och dels i underhåll. Men en kommun av de tre</w:t>
        <w:br/>
        <w:br/>
        <w:t>säger nej på den grund att ålderdomshemmet icke kommer att ligga precis</w:t>
        <w:br/>
        <w:br/>
        <w:t>inom den kommunen, och på det sättet brister möjligheten att där få till stånd</w:t>
        <w:br/>
        <w:br/>
        <w:t>ett kommunalförbund. Nog är det rimligt, att, när en sådan ovilja förelig-</w:t>
        <w:br/>
        <w:br/>
        <w:t>ger att ordna saken, Kungl. Maj:t skall äga tillgripa de föreslagna tvångsåtgärderna.</w:t>
        <w:br/>
        <w:br/>
        <w:t>Jag kan icke förstå, varför man så skall förstora talet om den kommunala självbestämningsrättens kränkande på detta område. Ingen annan kommun skulle här kunna bli tvingad än en sådan, som icke själv vill fullgöra sin skyldighet. Ingen i kammaren menar väl, att en kommun, som i fråga om fattigvård får ålägganden i annat avseende, är att beklaga därför att dess självbestämningsrätt kränkes. Om en fattigvårdskonsulent anmäler till länsstyrelsen, att fattigvård icke beredes vederbörande på ett tillbörligt sätt och kommunen ställer sig avvisande, är det ett faktum, att länsstyrelsen kan ålägga kommunen att lämna de vårdbehövande vad som erfordras. Men icke tycker någon, att detta innebär en kränkning av den kommunala självbestämningsrätten? Icke innebär det en upprörande kränkning av denna självbestämningsrätt, att en kommun, som av intresselöshet eller annan orsak visar ovilja mot fattigvårdens fullständiga ordnande, får ett åläggande härutinnan?</w:t>
        <w:br/>
        <w:br/>
        <w:t>Jag märker, att talesmännen för utskottet äro behärskade av den uppfattningen, att förevarande proposition endast är ett försök att neutralisera uppskovsbeslutet av i fjol. Det har redan klarlagts, att innebörden i förslaget är en helt annan. Man vill göra det möjligt för de kommuner, som önska ordna saken genom sammanslutning, att gentemot ovilliga kommuner tvånget att bilda kommunalförbund skall kunna tillgripas.</w:t>
        <w:br/>
        <w:br/>
        <w:t>Ett annat moment i motståndet till den kungl. propositionen frammanades av herr Ödström, som sade, att hans humanitära känslor förbjuda honom att överhuvud taget diskutera frågan om sammanslutningar i kommunalförbund för lösning av anstaltsspörsmålet, och jag märker vid samtal med kammarens ledamöter, att man känner sig tilltalad av herr Ödströms humanitet. Jag skall också medge, att jag i början av min verksamhet som fattigvårdskonsulent tyckte det lät litet inhumant, att de åldriga skulle ryckas upp med rötterna och från sin hembygd flyttas till en annan ort, där ålderdomshemmet låg. Men numera har jag funnit, att då understödstagare erhåller anstaltsvård, rör det sig om fall, där andra möjligheter äro uteslutna, d. v. s. då vederbörande icke kan understödjas i sitt eget hem och icke heller lämpligen kan utackorderas, fall alltså då ingen kan bringa den nödställde hjälp. Han kommer slutligen till ett inackorderingshem, där man i många fall tager emot honom närmast för att man är mån om inackorderingsavgiften. Om jag då frågar en sådan understödstagare, vilket han skulle föredraga, att flytta till den angränsande kommunens ålderdomshem och där få vård eller att fortfarande stanna kvar i den miljö, där han befinner sig, så visar det sig, att han visserligen säger nej i början, men att, om han får se ålderdomshemmet, gladeligen reser dit och lever där till sina dödsdagar. Det är bara en teori, som herr Ödström för fram. I det levande livet ter det sig annorlunda.</w:t>
        <w:br/>
        <w:br/>
        <w:t>Jag är mycket förvånad över resultatet av den utredning, som gjorts av fattigvårdsinspektionen rörande det fullständiga ordnandet av fattigvårdsan-</w:t>
        <w:br/>
        <w:br/>
        <w:t>fredsställande ordnat sin anstaltsfråga, under det att i de burgnaste delarna av landet, Kristianstads och Malmöhus län, endast 21.5 4 resp. 26 2 av kommunerna varit mäktiga att förfara på samma sätt. Gotland har en siffra av endast 4.3 Z, men därvidlag har det från vederhäftigt håll upplysts, att detta beror på de säregna förhållandena därstädes. I Gotland finns det dess bättre folk, som ännu icke släppt den gamla uppfattningen, att så långt som möjligt anhöriga skola försörja varandra. Där taga barnen vård om sina föräldrar och föräldrarna vård om sina barn. Det är alltså icke den omständigheten att gotlänningarna äro ovilliga att gå till en lösning av anstaltsfrågan, som förklarar den låga siffran, utan saken sammanhänger med att den vackra anda, som jag nu nämnt, och som vi förresten borde få tillbaka överallt i landet, där fortfarande existerar. Ingen tror väl heller, att Kungl. Maj:t skulle våldföra sig på den kommunala tillgång, som består däri, att den ene anhörige hjälper den andre, och att sålunda Kungl. Maj:t skulle tvinga kommunerna i Gotland att sammansluta sig till kommunalförbund och bygga ålderdomshem, varigenom bandet mellan de anhöriga kanske skulle på ett olyckligt sätt upplösas. Ingen kan väl överhuvud tro, att en regering skulle taga fram kartan och göra upp förslag till sammanslutningar och mot kommunernas önskningar sammanföra dem i kommunalförbund. Det är endast mot tredskande kommuner, som vi behöva denna kraftåtgärd, och jag tror, att den icke skall behöva komma i fråga i andra fall än där den i tillämpningen skall visa sig berättigad.</w:t>
        <w:br/>
        <w:br/>
        <w:t>Nu förstår Jag varför Kristianstads och Malmöhus län icke bättre ha löst den kommunala anstaltsfrågan; detta förklaras av herr Björklunds anförande. Bestickande lät det, när herr Björklund redogjorde för skåningarnas uppfattning om denna sak, men denna uppfattning är fullständigt i strid mot gällande lag och praxis. Här beslöt riksdagen år 1918 att ålägga varje kommun icke att bygga ålderdomshem men att ordna det så, att varje vårdbehövande finge anstaltsvård. Detta är sålunda ett åläggande, som varenda kommun i landet har. Man har sedan vädjat till landstingen, att dessa skola frivilligt omhändertaga vården om de kroniskt sjuka, och vi tro, att staten så småningom skall kunna omhändertaga sinnessjukvården. Det är med dessa utgångspunkter, som kommunerna ordnat sin ålderdomshemsfråga. Vi ha sedan år 1919 icke byggt ett enda ålderdomshem, som är berett att taga emot kroniskt sjuka eller sinnessjuka. Vi ha alltid hoppats, att landstingen skulle frivilligt övertaga vården om de kroniskt sjuka och att staten skulle handha sinnessjukvården. Det oaktat finns det givetvis sinnessjuka på ålderdomshemmen, men sådana ålderdomshem äro överbelagda och ha fått åtaga sig uppgifter, som de ursprungligen icke skulle haft.</w:t>
        <w:br/>
        <w:br/>
        <w:t>1 opponera oss emot de mycket stora, äldre anstalterna, därför att hemtrevnaden där försvinner och därför att dit sammanförts alla kategorier sjuka, men vi protestera också mot de alltför små hemmen. Det är för det första ur ekonomisk synpunkt orimligt, att en kommun, som behöver vård för t. ex. 4 eller 5 åldringar, skall behöva bygga ålderdomshem för 20,000 å 25,000 kronor, där det hålles personal med löner för omkring 1,000 kronor om året. Det skulle se egendomligt ut, om en kommun skulle pressas till något så vanvettigt. Men om kommunerna icke vilja sammansluta sig till kommunalförbund eller på annat sätt ordna denna sak, står man inför en dylik eventualitet. Sedan fordrar man givetvis, att sådana hem skola hållas i lika gott stånd som andra anstalter. Jag har icke inom mitt distrikt någon kommun, som behöver anstaltsvård i så liten utsträckning, men det måste jag säga, att om inom Västernorrlands och Jämtlands län en kommun skulle ha byggt ett ålderdomshem för</w:t>
        <w:br/>
        <w:br/>
        <w:t xml:space="preserve">4 eller 3 understödstagare och jag sedan skulle komma och resa anspråk på, att där skulle finnas en fullt utbildad föreståndarinna och tillräcklig hjälp åt </w:t>
      </w:r>
      <w:r>
        <w:rPr>
          <w:b/>
        </w:rPr>
        <w:t>henne²</w:t>
      </w:r>
      <w:r>
        <w:rPr>
          <w:b w:val="0"/>
        </w:rPr>
        <w:t xml:space="preserve"> m. m., så skulle nog kommunen fundera över huru jag kunde ställa sådana anspråk. Jag skulle för min del också hava svårt att göra detta, och jag tror alla fattigvårdskonsulenter skulle känna detsamma. Men då är faran. att vi komma fram till de små fattigstugorna. Det största framsteget beträffande anstaltsvården i 1918 års lag låg dock däri, att man kunde arbeta bort dels de stora fattighusen och dels de små fattigstugorna.</w:t>
        <w:br/>
        <w:br/>
        <w:t>Herr Björklund ansåg, att man icke behövde forcera på detta område. Sedan landstingen klarat sina uppgifter med hänsyn till de kroniskt sjuka och staten tagit hand om de sinnessjuka, då men först då kunde kommunerna veta, i vilken utsträckning de skulle bygga ålderdomshem. Det finns dock ingen kommun i detta land, som har en så inkompetent fattigvårdsstyrelse, att den icke kan ange, huru stort behovet av ålderdomshem är. Det finns heller ingen kommun, där fattigvårdsstyrelsen icke är medveten om, att man icke skall bygga ålderdomshem för de kroniskt sjuka och de sinnesslöa. Vi ha aldrig i den delen förbyggt oss här i landet efter år 1919. Skall kommunerna följa herr Björklunds program, så innebär det, att vi få vänta åtminstone 20 år, innan staten tagit hand om sinnessjukvården och jag tror ännu längre, innan frågan om den kroniska sjukvården löses. Då skulle t. ex. i Skåne 1,290 understödstagare få gå och vänta på sitt ålderdomshem. Finnes det stora utsikter att landstingen, som icke nu ha några lagliga åligganden på detta område, skola bygga sjukhus för de kroniskt sjuka, och tror någon att statens ekonomi medgiver, att man tager hand om de sinnessjuka inom överskådlig tid? Jag förstår icke den skånska humaniteten, och jag begriper icke heller, att det kan vara värdigt kommunerna att i avvaktan på något dylikt draga sig undan de uppgifter, som man av riksdagen ålagts att fullfölja. Rätta gången är den, som angivits av flertalet kommuner i Sverige, där man byggt ålderdomshem och ordnat för dessa vårdbehövande på ett tillfredsställande sätt. När jag säger, att man ordnat saken på ett tillfredsställande sätt, menar jag, att antingen ha kommunerna byggt eller beslutat bygga egna ålderdomshem, eller också ha de inackorderat de vårdbehövande i andra kommuner eller också har man sammanslutit sig i kommunalförbund. I Sörmland har, som jag nämnde, 81.7 Z av kommunerna fullgjort sin skyldighet, och i Örebro, där herr Ödström hör hemma, är motsvarande siffra 84.6. Huru herr Ödström, när han ser detta, kan ömma för det rika Skåne förstår jag ej!</w:t>
        <w:br/>
        <w:br/>
        <w:t xml:space="preserve">Jag kan icke förstå, att t. ex. Norrbotten, som är tryckt av arbetslöshet och svåra förhållanden i åtskilliga avseenden, visar så vackert resultat att 62 2 av kommunerna ordnat frågan, under det att i Kristianstads län endast 21 av kommunerna klarat denna uppgift. Detta måste bero på någon ovilja, eller också beror det på att man i Skåne vill tillämpa en från hela landet i övrigt avvikande metod. Jag har haft ett samtal med en mycket aktad representant från Kristianstads län, och denne har skisserat sitt program sålunda: det riktigaste är väl, att man söker så länge som möjligt hålla vederbörande kvar i deras egna hem och fördenskull, om så behöves, bygger en liten stuga åt t. ex. en gammal gumma och se till, att </w:t>
      </w:r>
      <w:r>
        <w:rPr>
          <w:b/>
        </w:rPr>
        <w:t>hon²</w:t>
      </w:r>
      <w:r>
        <w:rPr>
          <w:b w:val="0"/>
        </w:rPr>
        <w:t xml:space="preserve"> får mat och värme. Ja, det är så riktigt som det är sagt; vi sträva överallt att hålla människorna samman i deras naturliga hem, och det går givetvis bra, tills förmågan för understödstagaren att sköta sig själv alldeles teger slut. Men när ingen vill och kan taga hand om en person längre, då finns ingen annan möjlighet än ett ålderdomshem.</w:t>
        <w:br/>
        <w:br/>
        <w:t>Jag är övertygad om att alla i riksdagen önska, att den svenska fattigvården skall hållas på en så hög nivå som hittills skett, men möjligheterna för att</w:t>
        <w:br/>
        <w:br/>
        <w:t>fina Jag ber, herr förste vice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