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1744</w:t>
      </w:r>
    </w:p>
    <w:p>
      <w:r>
        <w:rPr>
          <w:b/>
        </w:rPr>
        <w:t xml:space="preserve">Datum: </w:t>
      </w:r>
      <w:r>
        <w:t>1927-05-21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Albin Hansson (Socialdemokraterna, man)</w:t>
      </w:r>
    </w:p>
    <w:p>
      <w:r>
        <w:rPr>
          <w:b w:val="0"/>
        </w:rPr>
        <w:t xml:space="preserve">Herr talman! Jag uppkallades verkligen, när herr Lindman riktade sig i förebrående ordalag mot lagutskottet dels därför att debatten i denna fråga blivit så uttänjd och dels därför att — såsom han uttryckte sig — alltför mycken energi utvecklades för en så liten sak som den förevarande. Jag ber med anledning härav få konstatera, att det icke är från lagutskottets sida, som man inlett debatten och gett den en större och mera omfattande läggning, än den behövde få. Beträffande saken i och för sig är det alldeles riktigt, att det här gäller en obetydlig lag. Men det är icke en liten sak, om man stiftar en lag på det sättet, att detsamma kan bli ett medel till trakasserier av oförvitliga medborgare. Det är sådant, som man icke bör medverka till. Ett par talare ha i repliker till herr Engberg berört exemplet med tidningsgumman och menat, att det icke kan vara så farligt, då herr Engberg säkerligen är nog gentil att betala gummans böter. Ett sådant resonemang upprör mig, ty redan därigenom, att gumman blir åtalad och ställd inför rätta, har </w:t>
      </w:r>
      <w:r>
        <w:rPr>
          <w:b/>
        </w:rPr>
        <w:t>hon²</w:t>
      </w:r>
      <w:r>
        <w:rPr>
          <w:b w:val="0"/>
        </w:rPr>
        <w:t xml:space="preserve"> undergått ett lidande, som ingalunda blir ersatt genom att </w:t>
      </w:r>
      <w:r>
        <w:rPr>
          <w:b/>
        </w:rPr>
        <w:t>hon²</w:t>
      </w:r>
      <w:r>
        <w:rPr>
          <w:b w:val="0"/>
        </w:rPr>
        <w:t xml:space="preserve"> slipper betala böterna.</w:t>
        <w:br/>
        <w:br/>
        <w:t>Själv har jag i denna sak lyssnat med mycket intresse särskilt till dem som som talat emot lagutskottet. Men jag måste säga att de betänkligeter som anförts från utskottets sida icke blivit hävda vare sig av justitieministerns förklaringar eller genom yttranden av anhängarna av lagstiftningen. Här är icke fråga om huruvida man vill bestraffa eller icke bestraffa en handling som i och för sig är klandervärd. Vad kritiken vill uppnå är en sådan formulering av lagen, att den drabbar verkligt straffbara; den avböjer att taga en lag, som för med sig risken att även oförvitliga kunna bli trakasserade. Jag tycker icke att det finnes skäl att forcera saken.</w:t>
        <w:br/>
        <w:br/>
        <w:t>Herr statsrådet säger visserligen det att genom att saken bragts inför riksdagen är det vanskligt att avslå lagen. Det kan icke vara något argument. Herr statsrådet borde då icke ha lagt fram lagförslaget, förrän statsrådet varit tämligen säker på att det skulle bifallas. Någon fara för att man genom ett avslag skulle »öppna slussarna» alldeles på detta område existerar icke. Det finns ju redan, såsom tidigare påpekats, prejudikat på att man kan bli dömd efter nuvarande lag. Herr justitieministern använde detta såsom förklaring till, att det icke förekommit något spridande av reklamsedlar i större utsträckning. Det bör väl dock även ett år framåt kunna utgöra en bom för spridandet, som det varit hittills. Jag kan således icke inse, att man verkligen löper någon risk genom uppskov.</w:t>
        <w:br/>
        <w:br/>
        <w:t>Jag hade icke tänkt att blanda mig in i denna debatt, men då herr Lindman bestraffande uppträder mot första lagutskottet, därför att man energiskt häv-</w:t>
        <w:br/>
        <w:br/>
        <w:t>dat en ståndpunkt, så måste jag säga, att när ledamöterna av första lagutskottet äro liksom många av kammarens ledamöter övertygade om att här gör man en lag, som kan utsätta oförvitliga samhällsmedlemmar för trakasserier, då är det en heder för utskottet att kämpa energiskt för sin ståndpunkt.</w:t>
      </w:r>
    </w:p>
    <w:p>
      <w:pPr>
        <w:pStyle w:val="Heading2"/>
      </w:pPr>
      <w:r>
        <w:t>2. Arvid Lindman (Högerns riksdagsgrupp, man)</w:t>
      </w:r>
    </w:p>
    <w:p>
      <w:r>
        <w:rPr>
          <w:b w:val="0"/>
        </w:rPr>
        <w:t>Herr talman! Vi kämpa ju energiskt litet var här i kammaren, när det gäller att förfäkta vår ståndpunkt, och det är sålunda icke något att förebrå lagutskottets medlemmar för att de härvidlag göra på samma sätt, som vi på andra sidan göra. Så att om den saken är det inte någonting att säga.</w:t>
        <w:br/>
        <w:br/>
        <w:t xml:space="preserve">Men då herr Hansson i Stockholm säger, att det kan inträffa att de icke bli straffade men åtalade och att redan detta är otrevligt, så vill jag svara vad jag nyss sade, att om denna lag antages och finnes och tidningar förbjuda sina annonschefer att taga emot och införa sådana annonser, då kan det icke bli någon som blir åtalad, men även om sådana annonser skulle införas, så ha vi fått upplysning från justitieministern att ifrågavarande personer icke bli åtalade. För tidningsgumman, som bär ut tidningar, kommer således något lidande ej till stånd, och ännu mindre blir </w:t>
      </w:r>
      <w:r>
        <w:rPr>
          <w:b/>
        </w:rPr>
        <w:t>hon²</w:t>
      </w:r>
      <w:r>
        <w:rPr>
          <w:b w:val="0"/>
        </w:rPr>
        <w:t xml:space="preserve"> straffad.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