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546</w:t>
      </w:r>
    </w:p>
    <w:p>
      <w:r>
        <w:rPr>
          <w:b/>
        </w:rPr>
        <w:t xml:space="preserve">Datum: </w:t>
      </w:r>
      <w:r>
        <w:t>1928-02-11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Herr talman! Vid detta utlåtande är fogad en reservation, till vilken jag skall be att få yrka bifall.</w:t>
        <w:br/>
        <w:br/>
        <w:t>Herrarna erinra sig helt visst, att denna fråga var före här i riksdagen sist år 1926. Lagutskottet hade då liksom nu avgivit ett avstyrkande utlå-</w:t>
        <w:br/>
        <w:br/>
        <w:t>tande. Detta avstyrkande grundade sig, som herrarna finna — 1926 års ut-</w:t>
        <w:br/>
        <w:br/>
        <w:t xml:space="preserve">låtande är intaget i det nu föreliggande betänkandet — huvudsakligen eller så gott som uteslutande på formella skäl. Man ansåg nämligen, att frågan om </w:t>
      </w:r>
      <w:r>
        <w:rPr>
          <w:b/>
        </w:rPr>
        <w:t>kvinnas¹</w:t>
      </w:r>
      <w:r>
        <w:rPr>
          <w:b w:val="0"/>
        </w:rPr>
        <w:t xml:space="preserve"> behörighet till klockartjänst borde lösas i ett större sammanhang. Man syftade därvid på den stora utredningen angående kantorsfrågan. Denna fråga hade varit före en gång här i riksdagen och fallit, men kyrkomötet hade gjort framstälining hos Kungl. Maj:t, att frågan måtte åter föreläggas riksdagen. Man syftade också på behörighetssakkunnigas betänkande, i vad detta avser de kyrkliga befattningarna, och man trodde sig hava anledning att hoppas, att Kungl. Maj:t skulle ägna denna fråga det övervägande, som den förtjänade.</w:t>
        <w:br/>
        <w:br/>
        <w:t xml:space="preserve">Sedan dess ha nu två år gått, och ingenting är åtgjort. Det hopp, vi ställt till Kungl. Maj:t, »tycks ej fullbordat bli&gt;. Under sådana förhållanden tycker jag för min del, och det mena också alla mina medreservanter, att det väl knappast går an att vänta längre. Vi hemställa därför, att riksdagen ville ge Kungl. Maj:t en påstötning om att lägga fram denna fråga. Det är ju egentligen också underligt, kan man säga, att när nu </w:t>
      </w:r>
      <w:r>
        <w:rPr>
          <w:b/>
        </w:rPr>
        <w:t>kvinnorna¹</w:t>
      </w:r>
      <w:r>
        <w:rPr>
          <w:b w:val="0"/>
        </w:rPr>
        <w:t xml:space="preserve"> hava släppts fram till så gott som alla befattningar, skall man förvägra dem att bli just klockare, vartill de väl borde passa synnerligen bra.</w:t>
        <w:br/>
        <w:br/>
        <w:t xml:space="preserve">Fastän ärendet kanske nu föreligger till bedömande endast ur mera formella synpunkter, har jag verkligen gjort mig besvär att se efter vad som i en del föregående diskussioner yttrats angående </w:t>
      </w:r>
      <w:r>
        <w:rPr>
          <w:b/>
        </w:rPr>
        <w:t>kvinnas¹</w:t>
      </w:r>
      <w:r>
        <w:rPr>
          <w:b w:val="0"/>
        </w:rPr>
        <w:t xml:space="preserve"> lämplighet eller olämplighet för klockarsysslor. Jag erinrar mig då särskilt en diskussion, i vilken en gammal biskop, som var känd för sitt trevliga skämtlynne, deltog raskt och oförfärat som vanligt. När man då ansatte honom och ville ha besked, varför i all världen inte </w:t>
      </w:r>
      <w:r>
        <w:rPr>
          <w:b/>
        </w:rPr>
        <w:t>kvinnorna¹</w:t>
      </w:r>
      <w:r>
        <w:rPr>
          <w:b w:val="0"/>
        </w:rPr>
        <w:t xml:space="preserve"> kunde få bli klockare, så erinrade han om den tavla, som finns i kyrkorna, där numren på psalmerna uppsättas under gudstjänsten, och han sade, att han inte tyckte, att det vore lämpligt, att en </w:t>
      </w:r>
      <w:r>
        <w:rPr>
          <w:b/>
        </w:rPr>
        <w:t>kvinna¹</w:t>
      </w:r>
      <w:r>
        <w:rPr>
          <w:b w:val="0"/>
        </w:rPr>
        <w:t xml:space="preserve"> skulle kliva upp på trappstegen framför tavlan för att flytta på dessa siffror. Sådana skäl har man framfört, mina herrar! Det var ju visserligen sagt på skämt, men i alla fall! Nå, det var på den tiden. Nu tror jag, att de nyfikna — om det finns några sådana kvar — inte längre ha behov av att </w:t>
      </w:r>
      <w:r>
        <w:rPr>
          <w:b/>
        </w:rPr>
        <w:t>kvinnorna¹</w:t>
      </w:r>
      <w:r>
        <w:rPr>
          <w:b w:val="0"/>
        </w:rPr>
        <w:t xml:space="preserve"> kliva upp på dylika trappstegar. Det skälet lär väl därför inte längre kunna ens på skämt åberopas.</w:t>
        <w:br/>
        <w:br/>
        <w:t xml:space="preserve">Jag har hört blott en enda invändning av verklig innebörd anföras, nämligen att man inte riktigt vet, vilka funktioner som inbegripas i klockarsysslan. Men det är väl inte värre med den saken än att om det skulle vara någon församling, där man har överlämnat så märkvärdiga funktioner till klockaren, att man inte anser det lämpligt, att en </w:t>
      </w:r>
      <w:r>
        <w:rPr>
          <w:b/>
        </w:rPr>
        <w:t>kvinna¹</w:t>
      </w:r>
      <w:r>
        <w:rPr>
          <w:b w:val="0"/>
        </w:rPr>
        <w:t xml:space="preserve"> får handhava klockarsysslan. så utnämner man inte en </w:t>
      </w:r>
      <w:r>
        <w:rPr>
          <w:b/>
        </w:rPr>
        <w:t>kvinna¹</w:t>
      </w:r>
      <w:r>
        <w:rPr>
          <w:b w:val="0"/>
        </w:rPr>
        <w:t xml:space="preserve"> i den församlingen.</w:t>
        <w:br/>
        <w:br/>
        <w:t xml:space="preserve">Man har vidare anfört, att ett uppskov inte är så farligt, ty </w:t>
      </w:r>
      <w:r>
        <w:rPr>
          <w:b/>
        </w:rPr>
        <w:t>kvinnorna¹</w:t>
      </w:r>
      <w:r>
        <w:rPr>
          <w:b w:val="0"/>
        </w:rPr>
        <w:t xml:space="preserve"> kunna söka dispens, och dispens beviljas alltid. Ja, det är riktigt, att dispens beviljas, men man får dock besinna, att det är förenat med rätt mycket besvär. Vi ha också i reservationen tillåtit oss påpeka, att det även är förenat med kostnader. En sådan resolution kostar 40 kronor, och 40 kronor är minsann inte någon liten summa för en fattig och anständig </w:t>
      </w:r>
      <w:r>
        <w:rPr>
          <w:b/>
        </w:rPr>
        <w:t>flicka²</w:t>
      </w:r>
      <w:r>
        <w:rPr>
          <w:b w:val="0"/>
        </w:rPr>
        <w:t>.</w:t>
      </w:r>
    </w:p>
    <w:p>
      <w:pPr>
        <w:pStyle w:val="Heading2"/>
      </w:pPr>
      <w:r>
        <w:t>2. Georg Dahl (Moderata samlingspartiet, man)</w:t>
      </w:r>
    </w:p>
    <w:p>
      <w:r>
        <w:rPr>
          <w:b w:val="0"/>
        </w:rPr>
        <w:t xml:space="preserve">Då första lagutskottet för tvenne år sedan handlade en motion, som var fullt identisk med den förevarande, åberopade utskottet den omständigheten, att frågan om </w:t>
      </w:r>
      <w:r>
        <w:rPr>
          <w:b/>
        </w:rPr>
        <w:t>kvinnas¹</w:t>
      </w:r>
      <w:r>
        <w:rPr>
          <w:b w:val="0"/>
        </w:rPr>
        <w:t xml:space="preserve"> behörighet till prästerliga och kyrk-</w:t>
        <w:br/>
        <w:br/>
        <w:t>liga befattningar hade gjorts till föremål för utredning av särskilda sakkunniga, vilka också hade avgivit betänkande och framställt förslag i ärendet. Detta vore, menade utskottet, anledning nog att för det dåvarande, i avvaktan på att frågan på grundval av detta sakkunnigbetänkande förelades riksdagen, icke förorda bifall till motionen i fråga.</w:t>
        <w:br/>
        <w:br/>
        <w:t xml:space="preserve">Detta skäl föreligger ännu och har föranlett utskottet att vidhålla sitt år 1926 gjorda uttalande. Nu säger den siste ärade talaren, utskottets ordförande, och de övriga reservanterna med honom, att det kan hysas en viss farhåga för att denna utredning skulle bli undanskjuten. Jag tror inte, att detta behöver befaras. Om denna utredning endast avsåge den nu föreliggande, tämligen obetydliga frågan, skulle man ju kunna befara något sådant, men den gäller ju </w:t>
      </w:r>
      <w:r>
        <w:rPr>
          <w:b/>
        </w:rPr>
        <w:t>kvinnas¹</w:t>
      </w:r>
      <w:r>
        <w:rPr>
          <w:b w:val="0"/>
        </w:rPr>
        <w:t xml:space="preserve"> behörighet till kyrkliga tjänster i allmänhet. och då kan man väl med säkerhet vänta, att saken icke tiges ihjäl, utan att det avgivna förslaget i en eller annan form förelägges riksdagen. Lämpligt är Ju, att dessa frågor avgöras i ett sammanhang.</w:t>
        <w:br/>
        <w:br/>
        <w:t>Som ett stöd för bifall till motionen har vidare åberopats, att det nuvarande dispensförfarandet vållar åtskilligt besvär och olägenhet ävensom kostnader för de sökande. Detta skäl tycker jag dock inte bör tillmätas allt för stor vikt. Man kan ju inte bortse ifrån att den prövning, som föregår dispensförfarandet, har en viss betydelse. Det förekommer, visserligen icke i många fall, men i några, att dispensansökningen avslås, och detta synes mig vara ett bevis för att prövningen inte varit alldeles utan gagn.</w:t>
        <w:br/>
        <w:br/>
        <w:t xml:space="preserve">Det upplystes också inom utskottet, att på en del platser vissa av klockarnas uppdrag äro sådana, att de inte lämpligen böra anförtros åt en </w:t>
      </w:r>
      <w:r>
        <w:rPr>
          <w:b/>
        </w:rPr>
        <w:t>kvinnlig¹</w:t>
      </w:r>
      <w:r>
        <w:rPr>
          <w:b w:val="0"/>
        </w:rPr>
        <w:t xml:space="preserve"> befattningshavare. Törhända är detta anledningen till att dispens i vissa fall icke beviljats.</w:t>
        <w:br/>
        <w:br/>
        <w:t>På nu anförda skäl ber jag att få yrka bifall till utskottets hemställan i det föreliggande utlåtandet.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