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585</w:t>
      </w:r>
    </w:p>
    <w:p>
      <w:r>
        <w:rPr>
          <w:b/>
        </w:rPr>
        <w:t xml:space="preserve">Datum: </w:t>
      </w:r>
      <w:r>
        <w:t>1929-02-13</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Kerstin Hesselgren (Folkpartiet, woman)</w:t>
      </w:r>
    </w:p>
    <w:p>
      <w:r>
        <w:rPr>
          <w:b w:val="0"/>
        </w:rPr>
        <w:t xml:space="preserve">Herr talman! Jag skulle till en början vilja säga. att ifrågavarande förening icke är fullt så ung som herr Widell tror. Den skapades nämligen mitt under brinnnande världskrig, då </w:t>
      </w:r>
      <w:r>
        <w:rPr>
          <w:b/>
        </w:rPr>
        <w:t>kvinnor¹</w:t>
      </w:r>
      <w:r>
        <w:rPr>
          <w:b w:val="0"/>
        </w:rPr>
        <w:t xml:space="preserve"> från många olika länder samlade sig för att undersöka, huruvida de icke skulle kunna återknyta de avslitna banden, och den svenska föreningen är ett avlägg av detta internationella förbund och den har arbetat allt sedan dess. Den har redan fått anslag av staten till anordnade kurser, 1,500 kronor en gång, 2,000 kronor en annan gång och en tredje gång något litet mera, men anslagen ha varit så knappa att den haft mycket stora svårigheter att få kurserna att gå ihop, endast med stora personliga uppoffringar har det varit möjligt. Alla ha sagt om dessa</w:t>
        <w:br/>
        <w:br/>
        <w:t>Om anslag till kurser, att de skötts på ett vederhäftigt sätt, och jag tror att man har skäl att</w:t>
        <w:br/>
        <w:br/>
        <w:t xml:space="preserve">svenska sektionen av Internationella </w:t>
      </w:r>
      <w:r>
        <w:rPr>
          <w:b/>
        </w:rPr>
        <w:t>kvinnoförbundet¹</w:t>
      </w:r>
      <w:r>
        <w:rPr>
          <w:b w:val="0"/>
        </w:rPr>
        <w:t xml:space="preserve"> för</w:t>
        <w:br/>
        <w:br/>
        <w:t>anse, att den upplysning och den propaganda, som av föreningen med dessa kurser spritts, har varit av den art, att även ganska oliktänkande personer kunna inse behovet av sådan verksamhet.</w:t>
        <w:br/>
        <w:br/>
        <w:t>Att jag i likhet med en annan motionär här i kammaren vågat begära ett så pass stort anslag som 10,000 kronor har berott på att jag ansett, att tiden här har marscherat ganska hastigt. Sedan denna förening bildades har det nämligen visat sig, att intresset för dess arbete blivit större för varje år och att det därför kan vara berättigat att ge föreningen ett kraftigt stöd. Jag hoppas, att, när nu det stora förslaget har fallit, vi åtminstone på denna punkt skola kunna få ett tillstyrkande, så att man ute i landet får känna, att Sveriges riksdag har ett verkligt intresse för fredsarbetet.</w:t>
      </w:r>
    </w:p>
    <w:p>
      <w:pPr>
        <w:pStyle w:val="Heading2"/>
      </w:pPr>
      <w:r>
        <w:t>2. Hjalmar Hammarskjöld (Utan partibeteckning, man)</w:t>
      </w:r>
    </w:p>
    <w:p>
      <w:r>
        <w:rPr>
          <w:b w:val="0"/>
        </w:rPr>
        <w:t>Herr talman! Jag vill fästa uppmärksamheten på, att anslag till ifrågavarande förening ingår i det stora anslag, som utskottet förordat under punkten 15 i sitt utlåtande. Om andra kammaren, som jag antager, bifaller utskottets hemställan i punkt 15 och ifall, såsom också är sannolikt, detta beslut blir riksdagens genom gemensam votering, kommer ifrågavarande förening att kunna bli delaktig av detta anslag på 25,000 kronor. Det skulle vara synnerligen oegentligt, ifall man utöver vad statsutskottet förordar, 25,000 kronor, skulle särskilt bevilja 10,000 kronor till en förening, vars anslag är avsett att inbegripas i det stora anslaget. Jag yrkar således bifall till reservationen på denna punkt.</w:t>
      </w:r>
    </w:p>
    <w:p>
      <w:pPr>
        <w:pStyle w:val="Heading2"/>
      </w:pPr>
      <w:r>
        <w:t>3. Värner Ryden (Socialdemokraterna, man)</w:t>
      </w:r>
    </w:p>
    <w:p>
      <w:r>
        <w:rPr>
          <w:b w:val="0"/>
        </w:rPr>
        <w:t xml:space="preserve">Jag begärde ordet för att delgiva kammaren den rent praktiska synpunkt, som den föregående ärade talaren gjorde gällande, men jag kan icke komma till det resultat, vartill han kom i sitt resonemang. Det är ju mycket ovisst, efter vad som förspörjes, hur utgången kan komma att bliva i andra kammaren. Det anses visst icke vara utan vidare säkert, att andra kammaren kommer att besluta i punkt 15 på annat sätt än första kammaren beslutat. Skulle det vara så, att det liksom i denna kammare kommer att väga ungefär jämnt mellan rösterna för och emot, är ju utgången av en gemensam votering, då åtminstone denna kammare i dag varit så glest besatt, synnerligen oviss. Skulle det då komma att gestalta sig så att andra kammaren följer samma linje som första kammaren följt, skulle resultatet av vad den svenska riksdagen har velat och förmått för främjande av fredssaken och fredsarbetet under det kommande budgetåret komma att inskränka sig till ett anslag av 1,500 kronor till svenska föreningen för Nationernas förbund. Jag hemställer för min del, och det är alldeles självklart, att, om utgången blir den motsatta — således om andra kammaren segrar i punkt 15 eventuellt — riksdagen må komma att taga konsekvenserna härav 1 den gemensamma votering som eventuellt kommer att äga rum i denna punkt och icke dubblera detta anslag. Jag kände emellertid ett behov, herr talman, att säga detta, att jag tycker, att det kommit att gestalta sig bra olyckligt, ifall resultatet av behandlingen av dessa motioner i år bara skulle bli detta lilla anslag på 1,500 kronor, då mediemmarna här i kammaren äro besjälade av en önskan att främja fredssaken men av formella synpunkter låtit förmå sig att avstå från att stödja utskottets hemställan och man därigenom har kommit till ett resultat, som blir för detta fredsarbete i hög grad ogynnsamt. Nu är det efter min uppfattning så, att denna fredsorganisation, som det här gäller, den tror jag för min personliga del mycket på. Den har slagit in på, såvitt jag kunnat bedöma, sunda, riktiga och vederhäftiga linjer och om det är några, som skola kunna förmå påverka släkten, som komma, i den anda, i vilken fredsarbetet vill arbeta, så undrar jag, om det icke är </w:t>
      </w:r>
      <w:r>
        <w:rPr>
          <w:b/>
        </w:rPr>
        <w:t>kvinnorna¹</w:t>
      </w:r>
      <w:r>
        <w:rPr>
          <w:b w:val="0"/>
        </w:rPr>
        <w:t xml:space="preserve">, de varande och blivande </w:t>
      </w:r>
      <w:r>
        <w:rPr>
          <w:b/>
        </w:rPr>
        <w:t>mödrarna²</w:t>
      </w:r>
      <w:r>
        <w:rPr>
          <w:b w:val="0"/>
        </w:rPr>
        <w:t>, och jag tycker</w:t>
        <w:br/>
        <w:br/>
        <w:t>därför att det skulle vara nästan litet för mycket, om första kammaren här 0” anslag till</w:t>
        <w:br/>
        <w:br/>
        <w:t>sade blankt nej till allting beträffande denna organisation. neka av Även herr Widell har dock måst erkänna, att de invändningar, som man ifrån = TInternatio-</w:t>
        <w:br/>
        <w:br/>
        <w:t xml:space="preserve">hans åsiktskrets kan rikta emot eventuella andra föreningar, icke på långa nella </w:t>
      </w:r>
      <w:r>
        <w:rPr>
          <w:b/>
        </w:rPr>
        <w:t>kvinno¹</w:t>
      </w:r>
      <w:r>
        <w:rPr>
          <w:b w:val="0"/>
        </w:rPr>
        <w:t>-</w:t>
        <w:br/>
        <w:br/>
        <w:t>vägar och efter min uppfattning icke alls kunna riktas emot den organisation, förbundet för</w:t>
        <w:br/>
        <w:br/>
        <w:t>som det här är fråga om. fred och frihet. Nu väger mitt ord icke tillräckligt för att verka, men jag skulle nästan (Forts;)</w:t>
        <w:br/>
        <w:br/>
        <w:t>vilja vädja till kammaren att här icke följa den rena avslagslinjen hela vägen</w:t>
        <w:br/>
        <w:br/>
        <w:t>utan på denna punkt stödja saken och visa sitt intresse för den genom att bi-</w:t>
      </w:r>
    </w:p>
    <w:p>
      <w:pPr>
        <w:pStyle w:val="Heading2"/>
      </w:pPr>
      <w:r>
        <w:t>4. Oscar Olsson (Socialdemokraterna, man)</w:t>
      </w:r>
    </w:p>
    <w:p>
      <w:r>
        <w:rPr>
          <w:b w:val="0"/>
        </w:rPr>
        <w:t>Vad jag hade tänkt säga med anledning av herr Hammarskjölds yttrande har redan herr Rydén sagt. Jag ber att till alla delar få instämma med honom.</w:t>
      </w:r>
    </w:p>
    <w:p>
      <w:pPr>
        <w:pStyle w:val="Heading2"/>
      </w:pPr>
      <w:r>
        <w:t>5. Carl Lindhagen (–, man)</w:t>
      </w:r>
    </w:p>
    <w:p>
      <w:r>
        <w:rPr>
          <w:b w:val="0"/>
        </w:rPr>
        <w:t xml:space="preserve">Herr Widell nämnde något om att herr Lindhagen bara hade föreslagit 3,000 kronor för denna förening. Förhållandet är det, att jag är den ende, som försökt att på ett oväldigt sätt föreslå anslag till alla fredsföreningar, som bruka komma i fråga. Tyvärr har jag glömt bort Skolornas fredsförening därför att den ej kommit under debatt. Jag är, som sagt, den ende, som väckt motioner, omfattande alla de föreningar, som skulle komma i fråga, från och med interparlamentariska unionen till och med den föraktade stora folkliga fredsföreningen, och jag har då satt mina petita efter den blygsamma måttstock, som vi äro vana vid att tillämpa vid utdelandet av anslag iill olika vederbörande. Till denna nya förening, som för första gången skulle komma i fråga, föreslog jag ett anslag av 3,000 kronor. Svenska föreningen för Nationernas förbund fick första gången ett anslag på 3,000 kronor, fastän riksdagen sedan sänkte detta till 1,500 kronor emot vår önskan. Ingen hade omnämnt för mig, att det tillämnades en motion, som bara förordade anslag iill Internationella </w:t>
      </w:r>
      <w:r>
        <w:rPr>
          <w:b/>
        </w:rPr>
        <w:t>kvinnoförbundet¹</w:t>
      </w:r>
      <w:r>
        <w:rPr>
          <w:b w:val="0"/>
        </w:rPr>
        <w:t xml:space="preserve"> för fred och frihet med 10,000 kronor. Hade jag vetat det, skulle mina belopp ha slutat på 10,000 kronor till alla fredsföreningar efter hela linjen!</w:t>
        <w:br/>
        <w:br/>
        <w:t xml:space="preserve">Här förnimma vi nu också, att herr Rydén hör till den latenta fronden emot Svenska fredsoch skiljedomsföreningen på högerns sida. Han antyder, att Fred och Frihet är i alla fall något finare, det är </w:t>
      </w:r>
      <w:r>
        <w:rPr>
          <w:b/>
        </w:rPr>
        <w:t>mödrarna²</w:t>
      </w:r>
      <w:r>
        <w:rPr>
          <w:b w:val="0"/>
        </w:rPr>
        <w:t xml:space="preserve">, som skola göra det! Jag kan säga herr Rydén, att om icke männen äro med och visa lika stort intresse som </w:t>
      </w:r>
      <w:r>
        <w:rPr>
          <w:b/>
        </w:rPr>
        <w:t>mödrarna²</w:t>
      </w:r>
      <w:r>
        <w:rPr>
          <w:b w:val="0"/>
        </w:rPr>
        <w:t xml:space="preserve"> för fredsrörelsen, blir det ingenting av med fredsarbetet, ty därvid skola både fäder och </w:t>
      </w:r>
      <w:r>
        <w:rPr>
          <w:b/>
        </w:rPr>
        <w:t>mödrar²</w:t>
      </w:r>
      <w:r>
        <w:rPr>
          <w:b w:val="0"/>
        </w:rPr>
        <w:t xml:space="preserve"> stå samman en för alla och alla för en.</w:t>
        <w:br/>
        <w:br/>
        <w:t>Enär herr statsrådet Borell anmält sig vilja avlämna kungl. propositioner, avbröts nu behandlingen av det föreliggande utlåtandet.</w:t>
      </w:r>
    </w:p>
    <w:p>
      <w:pPr>
        <w:pStyle w:val="Heading2"/>
      </w:pPr>
      <w:r>
        <w:t>6. Carl Lindhagen (–, man)</w:t>
      </w:r>
    </w:p>
    <w:p>
      <w:r>
        <w:rPr>
          <w:b w:val="0"/>
        </w:rPr>
        <w:t>Herr talman! Jag vill erinra, att det gick så fort med genomklubbandet av punkterna, att jag icke ens hann begära ordet vid punkt 24 förr än klubban föll. Det bekymrar mig, att jag sålunda förhindrats föra motionens talan inför kammaren.</w:t>
        <w:br/>
        <w:br/>
        <w:t>Departementschefen hade därvid yttrat, att då nu gällande bestämmelser på pensionsväsendets område utan alltför stora olägenheter torde kunna tillämpas ännu någon tid framåt, med den slutliga prövningen av ifrågavarande pensionsspörsmål syntes böra ytterligare anstå.</w:t>
        <w:br/>
        <w:br/>
        <w:t>»Utskottet kan ej dela den av föredragande departementschefen uttalade uppfattningen, att den nuvarande ordningen på pensionsväsendets område utan större olägenheter kan tillsvidare fortfara. Utskottet hyser tvärtom den åsikten, att nu rådande förhållanden innebära betydande olägenheter såväl för de beslutande statsmakterna som för olika grenar av statsförvaltningen och, icke minst, för vederbörande befattningshavare. Dessa olägenheter framträda alldeles särskilt beträffande de talrika grupper av icke-ordinarie personal, företrädesvis arbetarpersonal och därmed närmast jämförliga anställningshavare. för vilka några bestämmelser om rätt till tjänstepension ännu icke meddelats. Den omständigheten, att frågan om tjänstepensionsrätt för icke-ordinarie befattningshavare icke blivit löst, har vidare lagt hinder i vägen för ordnande av familjepensionering för sådana befattningshavare. Utskottet har ansett sig icke kunna underlåta att ånyo betona angelägenheten av att de av departements- (Eee berörda frågorna bringas till lösning så snart detta över huvud är möjigt.</w:t>
        <w:br/>
        <w:br/>
        <w:t>Åberopande det anförda får utskottet hemställa, att riksdagen må i skrivelse till Kungl. Maj:t meddela vad här ovan blivit i förevarande ämne anfört.»</w:t>
      </w:r>
    </w:p>
    <w:p>
      <w:pPr>
        <w:pStyle w:val="Heading2"/>
      </w:pPr>
      <w:r>
        <w:t>7. Nils Wohlin (Lantmanna- och borgarepartiet inom andrakammaren, man)</w:t>
      </w:r>
    </w:p>
    <w:p>
      <w:r>
        <w:rPr>
          <w:b w:val="0"/>
        </w:rPr>
        <w:t>Herr talman! Detta bankoutskottets utlåtande ger mig anledning påpeka, att bankoutskottet lika litet som departementschefen synes ifrågasätta ett framläggande av förnyat förslag till pensionslag, innan</w:t>
        <w:br/>
        <w:br/>
        <w:t xml:space="preserve">1928 års lönekommitté hinner slutföra sitt uppdrag med avseende å inarbetandet av dyrtidstilläggen i de fasta lönerna. Jag har i det statsrådsprotokoll, som återgivits i utskottets utlåtande, erinrat om min företrädares i ämbetet yttrande i detta ärende vid fjolårets riksdag, då han framhöll dessa frågors komplicerade natur såsom ett skäl för ytterligare någon tids anstånd med deras framförande i riksdagen. Härutöver har jag för min del endast tillagt en erinran om att sedan dess 1928 års stora lönekommitté tillkommit, vilken bl. a. har till uppgift att utarbeta förslag om dyrtidstilläggens inarbetande i de fasta lönerna m. m. Med hänsyn till denna nytillkomna omständighet har jag påpekat, att frågan om ny civil pensionslag lämpligen bör anstå, åtminstone till dess att ifrågavarande kommittés arbete hinner slutföras och resultatet därav hinner föreläggas riksdagen. Bankoutskottet har icke uttryckt någon uppfattning av motsatt slag utan inskränkt sig till en erinran om vissa under riksdagsbehandlingen de föregående åren framförda speciella frågor, såsom frågan om </w:t>
      </w:r>
      <w:r>
        <w:rPr>
          <w:b/>
        </w:rPr>
        <w:t>kvinnliga¹</w:t>
      </w:r>
      <w:r>
        <w:rPr>
          <w:b w:val="0"/>
        </w:rPr>
        <w:t xml:space="preserve"> befattningshavares pensionsålder samt frågan om pensionering av icke-ordinarie befattningshavare, varefter utskottet slutar med att säga, att utskottet velat »ånyo betona angelägenheten av att de av departementschefen berörda frågorna bringas till lösning så snart detta över huvud är möjligt», ett uttalande, som ju på intet sätt strider mot min egen uppfattning. Jag begagnar alltså detta tillfälle till att förklara, att en departementschef, vilken det än må vara, knappast kan göra annat än att invänta 1928 års lönekommittés utredning, innan han föreslår riksdagen en ny ordning på pensionsväsendets område. Jag behöver ju icke tillägga, att de frågor, som utskottet särskilt berört, till sin natur äro sådana, att de lämpligen och rimligen böra upptagas i samband med hela det komplex av spörsmål, som pensionsfrågan utgör.</w:t>
        <w:br/>
        <w:br/>
        <w:t>Till sist får jag framhålla, att utskottet något litet vårdslöst återgivit departementschefens yttrande på en punkt. Jag har sagt, att frågans slutliga prövning bör få anstå med hänsyn till de skäl, som jag nu muntligen återupprepat, samt tillagt att nu gällande bestämmelser »utan alltför stora» olägenheter torde kunna tillämpas »ännu någon tid framåt». Detta har i utskottets utlåtande återgivits sålunda, att den nuvarande ordningen utan »större» olägenheter kan »tillsvidare» fortfara. Det är ju en viss nyansskillnad. Huvudsaken är emellertid, att man måste invänta resultatet av 1928 års lönekommittés arbete.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585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