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1821</w:t>
      </w:r>
    </w:p>
    <w:p>
      <w:r>
        <w:rPr>
          <w:b/>
        </w:rPr>
        <w:t xml:space="preserve">Datum: </w:t>
      </w:r>
      <w:r>
        <w:t>1929-04-27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Helge Bäcklund (Socialdemokraterna, man)</w:t>
      </w:r>
    </w:p>
    <w:p>
      <w:r>
        <w:rPr>
          <w:b w:val="0"/>
        </w:rPr>
        <w:t xml:space="preserve">Herr talman! Det är ju en stor grupp f. d. befattningshavare här som skulle åtnjuta retroaktiva tilläggspensioner. Och det kan nog sägas att utskottet kanske i något enstaka fall gått in för någon kungl. proposition, som gällt befattningshavare i ungefär samma ställning. Men det är väl så, att man inte då kunnat ana vad det skulle bli för konsekvenser av detta. Här är nu fråga om en stor grupp, och man vet icke vart det kan leda. Utskottet har ju egentligen stannat för den mening som statskontoret har intagit i frågan, och utskottet säger: »Vad statskontoret i fråga om lärarna anfört angående det betänkliga i en retroaktiv reglering av en gång författningsenligt fastställda pensionsförmåner måste i lika mån äga tillämpning jämväl i fråga om nyssnämnda </w:t>
      </w:r>
      <w:r>
        <w:rPr>
          <w:b/>
        </w:rPr>
        <w:t>lärarinnor³</w:t>
      </w:r>
      <w:r>
        <w:rPr>
          <w:b w:val="0"/>
        </w:rPr>
        <w:t>. Utskottet delar statskontorets uppfattning om det olämpliga i att låta ändrade bestämmelser eller av statsmakterna tillkännagiven ändrad uppfattning beträffande sättet för avvägande av pensionsförmåner erhålla tillbakaverkande inflytande på tidigare avgjorda pensionsärenden. Utskottet vill erinra, att dylik retroaktivitet hittills icke plägat tilllämpas. Även om, såsom departementschefen gjort gällande, ett bifall till Kungl. Maj:ts förevarande förslag icke skulle komma att föranleda några mera avsevärda konsekvenser beträffande lärarpersonal, finner utskottet uppenbart, att ett beslut i enlighet med förslaget skulle kunna medföra vittomfattande konsekvenser i fråga om andra områden av statsförvaltningen.»</w:t>
        <w:br/>
        <w:br/>
        <w:t>Jag tror, att det är fullt riktigt att följa utskottet i detta fallet. Det kan Ju nu icke hjälpas, att en kungl. proposition blir avslagen. Vi hava pekat på konsekvenserna, och utskottet är absolut enhälligt om denna mening, att det icke vill gå med på den kungliga propositionen, och jag ber att få hemställa om bifall till utskottets förslag.</w:t>
      </w:r>
    </w:p>
    <w:p>
      <w:pPr>
        <w:pStyle w:val="Heading2"/>
      </w:pPr>
      <w:r>
        <w:t>2. Claes Lindskog (Högerns riksdagsgrupp, man)</w:t>
      </w:r>
    </w:p>
    <w:p>
      <w:r>
        <w:rPr>
          <w:b w:val="0"/>
        </w:rPr>
        <w:t xml:space="preserve">Herr talman! Jag skall endast be att få säga, att även jag delar den föregående ärade talarens mening i så måtto, att jag har mycket svårt att få ihop det gjorda uttalandet av statskontoret med vad det skrivit förut. Bankoutskottet har nu sagt, att vad som gäller i fråga om lärarna, det måste också anses äga tilllämpning i fråga om </w:t>
      </w:r>
      <w:r>
        <w:rPr>
          <w:b/>
        </w:rPr>
        <w:t>lärarinnorna³</w:t>
      </w:r>
      <w:r>
        <w:rPr>
          <w:b w:val="0"/>
        </w:rPr>
        <w:t xml:space="preserve">. Det är alldeles riktigt, Kungl. Maj:t har resonerat på liknande sätt, ehuru i motsatt ordning, så att vad som enligt statskontorets yttrande gäller i fråga om </w:t>
      </w:r>
      <w:r>
        <w:rPr>
          <w:b/>
        </w:rPr>
        <w:t>lärarinnor³</w:t>
      </w:r>
      <w:r>
        <w:rPr>
          <w:b w:val="0"/>
        </w:rPr>
        <w:t xml:space="preserve"> måste också gälla i fråga om lärarna. Det är blott beroende på vilket man tar till utgångsläge; och Kungl. Maj:t har intagit detta utgångsläge, därför att det synts Kungl. Maj:t överensstämma bäst med den ståndpunkt, som riksdagen förut vid ett par tillfällen intagit: några lärare, Harlin och Ekegren, ha ju för några år sedan fått pension på precis samma grunder.</w:t>
      </w:r>
    </w:p>
    <w:p>
      <w:pPr>
        <w:pStyle w:val="Heading2"/>
      </w:pPr>
      <w:r>
        <w:t>3. Gustav Mosesson (Frisinnade folkpartiet, man)</w:t>
      </w:r>
    </w:p>
    <w:p>
      <w:r>
        <w:rPr>
          <w:b w:val="0"/>
        </w:rPr>
        <w:t xml:space="preserve">Herr talman! I många av de ärenden, som i dag behandlas, är det ju fråga om att rent ut sagt hålla nöden borta ifrån en uttjänt persons dörrar. I det ärende, som nu föreligger, är det fråga om, huruvida riksdagen skulle vilja vara med om att giva ett offentligt erkännande åt en av de mest förtjänta personerna inom det svenska uppfostringsväsendet, nämligen </w:t>
      </w:r>
      <w:r>
        <w:rPr>
          <w:b/>
        </w:rPr>
        <w:t>fröken²</w:t>
      </w:r>
      <w:r>
        <w:rPr>
          <w:b w:val="0"/>
        </w:rPr>
        <w:t xml:space="preserve"> Anna Sandström.</w:t>
        <w:br/>
        <w:br/>
        <w:t xml:space="preserve">Envar som sysslat med skolfrågor vet, att ända sedan början av 1880-talet har detta namn representerat något av det mest initiativrika och livsdugliga inom vårt undervisningsoch uppfostringsväsende. Nu är </w:t>
      </w:r>
      <w:r>
        <w:rPr>
          <w:b/>
        </w:rPr>
        <w:t>fröken²</w:t>
      </w:r>
      <w:r>
        <w:rPr>
          <w:b w:val="0"/>
        </w:rPr>
        <w:t xml:space="preserve"> Anna Sandström efter en snart femtioårig verksamhet såsom skriftställarinna och föreståndarinna för ett högre lärarinneseminarium kommen till nära 75 års ålder och är sjuk. Ett stort antal personer, män och </w:t>
      </w:r>
      <w:r>
        <w:rPr>
          <w:b/>
        </w:rPr>
        <w:t>kvinnor¹</w:t>
      </w:r>
      <w:r>
        <w:rPr>
          <w:b w:val="0"/>
        </w:rPr>
        <w:t xml:space="preserve"> i olika villkor, personer bemärkta på kulturens och uppfostrans område, hava hemställt om att </w:t>
      </w:r>
      <w:r>
        <w:rPr>
          <w:b/>
        </w:rPr>
        <w:t>fröken²</w:t>
      </w:r>
      <w:r>
        <w:rPr>
          <w:b w:val="0"/>
        </w:rPr>
        <w:t xml:space="preserve"> Sandström måtte genom tillerkännandet av en statspension få det tack, som enligt deras förmenande en sådan livsgärning som </w:t>
      </w:r>
      <w:r>
        <w:rPr>
          <w:b/>
        </w:rPr>
        <w:t>hennes²</w:t>
      </w:r>
      <w:r>
        <w:rPr>
          <w:b w:val="0"/>
        </w:rPr>
        <w:t xml:space="preserve"> förtjänar. Det har sagts, att Anna Sandströms verksamhet har varit av bestående värde för vårt lands undervisningsväsen och utgör en kulturinsats av icke vanliga mått. Denna omnämnda framställning har hänskjutits för yttrande till skolöverstyrelsen, och denna säger, att den finner det framstående arbete, som Anna Sandström nedlagt på det pedagogiska området, vara av synnerligen stor betydelse för en god och sund utveckling av den pedagogiska verksamheten i vårt land, och att överstyrelsen på grund därav anser </w:t>
      </w:r>
      <w:r>
        <w:rPr>
          <w:b/>
        </w:rPr>
        <w:t>henne²</w:t>
      </w:r>
      <w:r>
        <w:rPr>
          <w:b w:val="0"/>
        </w:rPr>
        <w:t xml:space="preserve"> vara väl förtjänt av erkännande från statens sida. Med anledning härav vill överstyrelsen vara med om att tillstyrka den i nu förevarande ansökan gjorda hemställan, att såsom ett erkännande från statens sida för Anna Sandströms pedagogiska verksamhet pension av statsmedel måtte tillerkännas </w:t>
      </w:r>
      <w:r>
        <w:rPr>
          <w:b/>
        </w:rPr>
        <w:t>henne²</w:t>
      </w:r>
      <w:r>
        <w:rPr>
          <w:b w:val="0"/>
        </w:rPr>
        <w:t>. Och statskontoret, som förklarar, att det ju egentligen icke ligger inom dess domvärjo att sakligt pröva ärendet, säger dock, att av innehållet i förevarande av framstående personer på området gjorda framställning ävensom av vad skolöverstyrelsen anfört synes framgå, att här föreligger ett ganska enastående fall, och att alltså ett bifall till framställningen knappast skulle innebära någon fara för vittgående eller betänk-</w:t>
        <w:br/>
        <w:br/>
        <w:t>liga konsekvenser. De motionärer, som vid årets riksdag hemställt om en sådan statspension åt Anna Sandström, hava sålunda ansett sig ha goda skäl för den framställning de gjort.</w:t>
        <w:br/>
        <w:br/>
        <w:t xml:space="preserve">Emellertid har bankoutskottet blygsamt nog förklarat sig icke vara i tillfälle att kunna pröva, huruvida en sådan form av offentligt erkännande bör tillerkännas denna verksamhet på undervisningsväsendets område, utan menar, att Kungl. Maj:t borde bedöma, huruvida denna verksamhet motiverar ett erkännande från statens sida och sedermera inkomma med eventuell framställning till riksdagen. Jag skall nu, när kammaren i frågans nuvarande skick icke lär känna sig redo att taga ställning till en sak, som bankoutskottet efter sin prövning har funnit böra hänskjutas till Kungl. Maj:t, inskränka mig till att hemställa om att herr statsrådet och chefen för ecklesiastikdepartementet ville upptaga till välvilligt beaktande såväl de många framställningar, som här kommit från framstående män och </w:t>
      </w:r>
      <w:r>
        <w:rPr>
          <w:b/>
        </w:rPr>
        <w:t>kvinnor¹</w:t>
      </w:r>
      <w:r>
        <w:rPr>
          <w:b w:val="0"/>
        </w:rPr>
        <w:t xml:space="preserve"> på uppfostrans område som också vad myndigheterna sagt i detta avseende. Och, herr statsråd, därest det är möjligt att till nästa riksdag kunna giva Anna Sandström, som nu är 75 år gammal och sjuklig, ett sådant erkännande från statens sida, vore det i hög grad önskvärt, att detta genom herr statsrådets åtgörande måtte ske. Det är så många, som först sedan de slutat sitt värv blivit erkända för vad de gjort. Jag anser det vara en gärd av rättvisa åt denna framstående </w:t>
      </w:r>
      <w:r>
        <w:rPr>
          <w:b/>
        </w:rPr>
        <w:t>dam²</w:t>
      </w:r>
      <w:r>
        <w:rPr>
          <w:b w:val="0"/>
        </w:rPr>
        <w:t xml:space="preserve">, som enligt min uppfattning vårt land står i tacksamhetsskuld till, om </w:t>
      </w:r>
      <w:r>
        <w:rPr>
          <w:b/>
        </w:rPr>
        <w:t>hon²</w:t>
      </w:r>
      <w:r>
        <w:rPr>
          <w:b w:val="0"/>
        </w:rPr>
        <w:t xml:space="preserve">, innan </w:t>
      </w:r>
      <w:r>
        <w:rPr>
          <w:b/>
        </w:rPr>
        <w:t>hon²</w:t>
      </w:r>
      <w:r>
        <w:rPr>
          <w:b w:val="0"/>
        </w:rPr>
        <w:t xml:space="preserve"> slutar sitt långa och gagneliga värv, kunde få erfara, att det allmänna på detta sätt visade sig sätta värde på vad </w:t>
      </w:r>
      <w:r>
        <w:rPr>
          <w:b/>
        </w:rPr>
        <w:t>hon²</w:t>
      </w:r>
      <w:r>
        <w:rPr>
          <w:b w:val="0"/>
        </w:rPr>
        <w:t xml:space="preserve"> gjort.</w:t>
        <w:br/>
        <w:br/>
        <w:t>Jag har, herr talman, med denna motivering icke något yrkande.</w:t>
      </w:r>
    </w:p>
    <w:p>
      <w:pPr>
        <w:pStyle w:val="Heading2"/>
      </w:pPr>
      <w:r>
        <w:t>4. Helge Bäcklund (Socialdemokraterna, man)</w:t>
      </w:r>
    </w:p>
    <w:p>
      <w:r>
        <w:rPr>
          <w:b w:val="0"/>
        </w:rPr>
        <w:t xml:space="preserve">Herr talman! Här föreligger ett ärende, som ur många synpunkter är av den natur, att det enligt min uppfattning skulle vara riktigt, att riksdagen gick in för att ge denna sjuka </w:t>
      </w:r>
      <w:r>
        <w:rPr>
          <w:b/>
        </w:rPr>
        <w:t>lärarinna³</w:t>
      </w:r>
      <w:r>
        <w:rPr>
          <w:b w:val="0"/>
        </w:rPr>
        <w:t xml:space="preserve"> någon pension.</w:t>
        <w:br/>
        <w:br/>
      </w:r>
      <w:r>
        <w:rPr>
          <w:b/>
        </w:rPr>
        <w:t>Fru²</w:t>
      </w:r>
      <w:r>
        <w:rPr>
          <w:b w:val="0"/>
        </w:rPr>
        <w:t xml:space="preserve"> Lindberg var anställd som </w:t>
      </w:r>
      <w:r>
        <w:rPr>
          <w:b/>
        </w:rPr>
        <w:t>lärarinna³</w:t>
      </w:r>
      <w:r>
        <w:rPr>
          <w:b w:val="0"/>
        </w:rPr>
        <w:t xml:space="preserve"> till den sista juni 1921, då </w:t>
      </w:r>
      <w:r>
        <w:rPr>
          <w:b/>
        </w:rPr>
        <w:t>hon²</w:t>
      </w:r>
      <w:r>
        <w:rPr>
          <w:b w:val="0"/>
        </w:rPr>
        <w:t xml:space="preserve"> avgick från tjänsten. </w:t>
      </w:r>
      <w:r>
        <w:rPr>
          <w:b/>
        </w:rPr>
        <w:t>Hon²</w:t>
      </w:r>
      <w:r>
        <w:rPr>
          <w:b w:val="0"/>
        </w:rPr>
        <w:t xml:space="preserve"> har i denna egenskap erlagt vederbörliga avgifter till pensionsanstalten. Den sista juni 1921, då </w:t>
      </w:r>
      <w:r>
        <w:rPr>
          <w:b/>
        </w:rPr>
        <w:t>hon²</w:t>
      </w:r>
      <w:r>
        <w:rPr>
          <w:b w:val="0"/>
        </w:rPr>
        <w:t xml:space="preserve"> slutade sin anställning vid Astranna småskola, var det icke </w:t>
      </w:r>
      <w:r>
        <w:rPr>
          <w:b/>
        </w:rPr>
        <w:t>hennes²</w:t>
      </w:r>
      <w:r>
        <w:rPr>
          <w:b w:val="0"/>
        </w:rPr>
        <w:t xml:space="preserve"> mening att avgå från skolverksamheten som sådan, utan </w:t>
      </w:r>
      <w:r>
        <w:rPr>
          <w:b/>
        </w:rPr>
        <w:t>hon²</w:t>
      </w:r>
      <w:r>
        <w:rPr>
          <w:b w:val="0"/>
        </w:rPr>
        <w:t xml:space="preserve"> ämnade söka sig annan plats, vilket tydligt framgår av </w:t>
      </w:r>
      <w:r>
        <w:rPr>
          <w:b/>
        </w:rPr>
        <w:t>hennes²</w:t>
      </w:r>
      <w:r>
        <w:rPr>
          <w:b w:val="0"/>
        </w:rPr>
        <w:t xml:space="preserve"> brev till skolrådsordföranden i Stora Levene samma år, enligt vilket </w:t>
      </w:r>
      <w:r>
        <w:rPr>
          <w:b/>
        </w:rPr>
        <w:t>hon²</w:t>
      </w:r>
      <w:r>
        <w:rPr>
          <w:b w:val="0"/>
        </w:rPr>
        <w:t xml:space="preserve"> reflekterade på annan plats. Detta brev finns här 1 handlingarna, så att om det är någon här, som är intresserad av att läsa det, finns det tillgängligt. Men </w:t>
      </w:r>
      <w:r>
        <w:rPr>
          <w:b/>
        </w:rPr>
        <w:t>hennes²</w:t>
      </w:r>
      <w:r>
        <w:rPr>
          <w:b w:val="0"/>
        </w:rPr>
        <w:t xml:space="preserve"> sjukdom hade under tiden så förvärrats, att </w:t>
      </w:r>
      <w:r>
        <w:rPr>
          <w:b/>
        </w:rPr>
        <w:t>hon²</w:t>
      </w:r>
      <w:r>
        <w:rPr>
          <w:b w:val="0"/>
        </w:rPr>
        <w:t xml:space="preserve"> aldrig mer kunde träda in i lärarinnekallet. </w:t>
      </w:r>
      <w:r>
        <w:rPr>
          <w:b/>
        </w:rPr>
        <w:t>Hon²</w:t>
      </w:r>
      <w:r>
        <w:rPr>
          <w:b w:val="0"/>
        </w:rPr>
        <w:t xml:space="preserve"> blev fullständigt invalid på grund av reumatism. Provinsialläkaren Bengtsson i Vara har intygat, att </w:t>
      </w:r>
      <w:r>
        <w:rPr>
          <w:b/>
        </w:rPr>
        <w:t>fru²</w:t>
      </w:r>
      <w:r>
        <w:rPr>
          <w:b w:val="0"/>
        </w:rPr>
        <w:t xml:space="preserve"> Lindberg under juni månad 1921 var sjuk i den sjukdom, som gjort </w:t>
      </w:r>
      <w:r>
        <w:rPr>
          <w:b/>
        </w:rPr>
        <w:t>henne²</w:t>
      </w:r>
      <w:r>
        <w:rPr>
          <w:b w:val="0"/>
        </w:rPr>
        <w:t xml:space="preserve"> till invalid, alltså innan </w:t>
      </w:r>
      <w:r>
        <w:rPr>
          <w:b/>
        </w:rPr>
        <w:t>hon²</w:t>
      </w:r>
      <w:r>
        <w:rPr>
          <w:b w:val="0"/>
        </w:rPr>
        <w:t xml:space="preserve"> avgick från tjänsten. Detta intyg finns också här i handlingarna, i fall någon vill taga del av detsamma. I början av juli månad samma år, den 10 juli, ingick </w:t>
      </w:r>
      <w:r>
        <w:rPr>
          <w:b/>
        </w:rPr>
        <w:t>fru²</w:t>
      </w:r>
      <w:r>
        <w:rPr>
          <w:b w:val="0"/>
        </w:rPr>
        <w:t xml:space="preserve"> Lindberg äktenskap, och det har spelat en viss roll vid behandlingen av </w:t>
      </w:r>
      <w:r>
        <w:rPr>
          <w:b/>
        </w:rPr>
        <w:t>hennes²</w:t>
      </w:r>
      <w:r>
        <w:rPr>
          <w:b w:val="0"/>
        </w:rPr>
        <w:t xml:space="preserve"> pensionsärende. Hade </w:t>
      </w:r>
      <w:r>
        <w:rPr>
          <w:b/>
        </w:rPr>
        <w:t>hon²</w:t>
      </w:r>
      <w:r>
        <w:rPr>
          <w:b w:val="0"/>
        </w:rPr>
        <w:t xml:space="preserve"> icke gift sig. behöver ingen tvivla på att </w:t>
      </w:r>
      <w:r>
        <w:rPr>
          <w:b/>
        </w:rPr>
        <w:t>hon²</w:t>
      </w:r>
      <w:r>
        <w:rPr>
          <w:b w:val="0"/>
        </w:rPr>
        <w:t xml:space="preserve"> nu haft sin pension på över 1,200 kronor per år. Vem tror egentligen, då man går i giftastankar och kanske känner sig inte fullt återställd av en föregående sjukdom, att det där icke skall kunna gå bort. Så var kanske förhållandet även i detta fall. </w:t>
      </w:r>
      <w:r>
        <w:rPr>
          <w:b/>
        </w:rPr>
        <w:t>Hon²</w:t>
      </w:r>
      <w:r>
        <w:rPr>
          <w:b w:val="0"/>
        </w:rPr>
        <w:t xml:space="preserve"> trodde väl alltså icke, att den sjukdom, som </w:t>
      </w:r>
      <w:r>
        <w:rPr>
          <w:b/>
        </w:rPr>
        <w:t>hon²</w:t>
      </w:r>
      <w:r>
        <w:rPr>
          <w:b w:val="0"/>
        </w:rPr>
        <w:t xml:space="preserve"> haft under juni månad, ledgångsreumatism, skulle så förvärras, att den helt och hållet skulle nedbryta </w:t>
      </w:r>
      <w:r>
        <w:rPr>
          <w:b/>
        </w:rPr>
        <w:t>henne²</w:t>
      </w:r>
      <w:r>
        <w:rPr>
          <w:b w:val="0"/>
        </w:rPr>
        <w:t xml:space="preserve"> och inom kort tid göra </w:t>
      </w:r>
      <w:r>
        <w:rPr>
          <w:b/>
        </w:rPr>
        <w:t>henne²</w:t>
      </w:r>
      <w:r>
        <w:rPr>
          <w:b w:val="0"/>
        </w:rPr>
        <w:t xml:space="preserve"> till invalid. </w:t>
      </w:r>
      <w:r>
        <w:rPr>
          <w:b/>
        </w:rPr>
        <w:t>Hennes²</w:t>
      </w:r>
      <w:r>
        <w:rPr>
          <w:b w:val="0"/>
        </w:rPr>
        <w:t xml:space="preserve"> man fick genast gå in för att skaffa </w:t>
      </w:r>
      <w:r>
        <w:rPr>
          <w:b/>
        </w:rPr>
        <w:t>henne²</w:t>
      </w:r>
      <w:r>
        <w:rPr>
          <w:b w:val="0"/>
        </w:rPr>
        <w:t xml:space="preserve"> all möjlig läkarvård, som han kunde uppbringa, och av handlingarna framgår, att han haft sin </w:t>
      </w:r>
      <w:r>
        <w:rPr>
          <w:b/>
        </w:rPr>
        <w:t>hustru²</w:t>
      </w:r>
      <w:r>
        <w:rPr>
          <w:b w:val="0"/>
        </w:rPr>
        <w:t xml:space="preserve"> på sanatorier, på lasarett och på badanstalter både här i landet och i Danmark. Men ingenting hjälpte; hans </w:t>
      </w:r>
      <w:r>
        <w:rPr>
          <w:b/>
        </w:rPr>
        <w:t>hustru²</w:t>
      </w:r>
      <w:r>
        <w:rPr>
          <w:b w:val="0"/>
        </w:rPr>
        <w:t xml:space="preserve"> har trots detta blivit och är invalid. På den tiden hade ju mannen möjlighet att åstadkomma läkarvård och sådana åtgärder, som voro till gagn för en sådan sjukdom, som hans </w:t>
      </w:r>
      <w:r>
        <w:rPr>
          <w:b/>
        </w:rPr>
        <w:t>hustru²</w:t>
      </w:r>
      <w:r>
        <w:rPr>
          <w:b w:val="0"/>
        </w:rPr>
        <w:t xml:space="preserve"> led av. Men numera är det så, att mannen icke har någon förmögenhet och har mycket små inkomster. Hans enda inkomst är en lön på 62:50 kronor i månaden som poststationsföreståndare i Edsbjörke i Värmland. Då förstår litet var, huru det skall vara i en familj, där inkomsterna äro så små och där </w:t>
      </w:r>
      <w:r>
        <w:rPr>
          <w:b/>
        </w:rPr>
        <w:t>hustrun²</w:t>
      </w:r>
      <w:r>
        <w:rPr>
          <w:b w:val="0"/>
        </w:rPr>
        <w:t xml:space="preserve"> är invalid. Var och en kan ju också förstå, huru det hela tiden kunnat gestalta sig i ett äktenskap, där man genast efter dess ingående fick så tråkiga familjeförhållanden.</w:t>
        <w:br/>
        <w:br/>
        <w:t xml:space="preserve">Skolrådet i vederbörande skoldistrikt har gått in till statens pensionsanstalt och begärt pension för ifrågavarande </w:t>
      </w:r>
      <w:r>
        <w:rPr>
          <w:b/>
        </w:rPr>
        <w:t>lärarinna³</w:t>
      </w:r>
      <w:r>
        <w:rPr>
          <w:b w:val="0"/>
        </w:rPr>
        <w:t xml:space="preserve">. Detta har avslagits. Man har gått till Kungl. Maj:t med överklagande av anstaltens beslut, och detta har icke lett till något resultat. Skolrådet har hos Kungl. Maj:t begärt, att Kungl. Maj:t propositionsvägen till riksdagen skulle begära pension för </w:t>
      </w:r>
      <w:r>
        <w:rPr>
          <w:b/>
        </w:rPr>
        <w:t>lärarinnan³</w:t>
      </w:r>
      <w:r>
        <w:rPr>
          <w:b w:val="0"/>
        </w:rPr>
        <w:t xml:space="preserve">, vilket emellertid icke heller har effektuerats av Kungl. Maj:t. Det hänger ju på dessa formella skäl och detta giftermål, som har fått spela in hela tiden, när man behandlat detta ärende. Hade </w:t>
      </w:r>
      <w:r>
        <w:rPr>
          <w:b/>
        </w:rPr>
        <w:t>hon²</w:t>
      </w:r>
      <w:r>
        <w:rPr>
          <w:b w:val="0"/>
        </w:rPr>
        <w:t xml:space="preserve"> icke varit gift, påstår jag än en gång, att när </w:t>
      </w:r>
      <w:r>
        <w:rPr>
          <w:b/>
        </w:rPr>
        <w:t>hon²</w:t>
      </w:r>
      <w:r>
        <w:rPr>
          <w:b w:val="0"/>
        </w:rPr>
        <w:t xml:space="preserve"> avgick från tjänsten, hade </w:t>
      </w:r>
      <w:r>
        <w:rPr>
          <w:b/>
        </w:rPr>
        <w:t>hon²</w:t>
      </w:r>
      <w:r>
        <w:rPr>
          <w:b w:val="0"/>
        </w:rPr>
        <w:t xml:space="preserve"> alldeles säkert haft den pension, som pensionsanstalten uppgivit, att </w:t>
      </w:r>
      <w:r>
        <w:rPr>
          <w:b/>
        </w:rPr>
        <w:t>hon²</w:t>
      </w:r>
      <w:r>
        <w:rPr>
          <w:b w:val="0"/>
        </w:rPr>
        <w:t xml:space="preserve"> skulle varit berättigad till, vilken pension skulle uppgått till över 1,200 kronor. Det är giftermålet, som kommit i vägen; hade </w:t>
      </w:r>
      <w:r>
        <w:rPr>
          <w:b/>
        </w:rPr>
        <w:t>hon²</w:t>
      </w:r>
      <w:r>
        <w:rPr>
          <w:b w:val="0"/>
        </w:rPr>
        <w:t xml:space="preserve"> varit ogift och lidit av denna sjukdom, så hade </w:t>
      </w:r>
      <w:r>
        <w:rPr>
          <w:b/>
        </w:rPr>
        <w:t>hon²</w:t>
      </w:r>
      <w:r>
        <w:rPr>
          <w:b w:val="0"/>
        </w:rPr>
        <w:t xml:space="preserve"> otvivelaktigt fått pension. Jag tycker, att skolrådet gjort allt vad på detsamma ankommer, och anser också, att det är värt en eloge för det arbete</w:t>
        <w:br/>
        <w:br/>
        <w:t xml:space="preserve">det utfört för att försöka skaffa denna </w:t>
      </w:r>
      <w:r>
        <w:rPr>
          <w:b/>
        </w:rPr>
        <w:t>kvinna¹</w:t>
      </w:r>
      <w:r>
        <w:rPr>
          <w:b w:val="0"/>
        </w:rPr>
        <w:t xml:space="preserve"> någon pension på grund av </w:t>
      </w:r>
      <w:r>
        <w:rPr>
          <w:b/>
        </w:rPr>
        <w:t>hennes²</w:t>
      </w:r>
      <w:r>
        <w:rPr>
          <w:b w:val="0"/>
        </w:rPr>
        <w:t xml:space="preserve"> nuvarande sjukdom och fattigdom. Detta har emellertid icke lyckats, och sista reträtten är ju då att försöka hos riksdagen.</w:t>
        <w:br/>
        <w:br/>
        <w:t xml:space="preserve">Jag har väckt en motion, däri jag hemställt om att </w:t>
      </w:r>
      <w:r>
        <w:rPr>
          <w:b/>
        </w:rPr>
        <w:t>hon²</w:t>
      </w:r>
      <w:r>
        <w:rPr>
          <w:b w:val="0"/>
        </w:rPr>
        <w:t xml:space="preserve"> skulle tillerkännas samma pension, som om </w:t>
      </w:r>
      <w:r>
        <w:rPr>
          <w:b/>
        </w:rPr>
        <w:t>hon²</w:t>
      </w:r>
      <w:r>
        <w:rPr>
          <w:b w:val="0"/>
        </w:rPr>
        <w:t xml:space="preserve"> avgått från tjänsten på grund av sjukdom och förklarats berättigad till pension. Jag har icke vunnit tillräckligt stöd för detta krav inom utskottet. Men kammaren skall icke tro, att jag varit så ensam, som det kan se ut av reservationen, utan jag har haft flera utskottsledamöter med mig i yrkandet att ge denna </w:t>
      </w:r>
      <w:r>
        <w:rPr>
          <w:b/>
        </w:rPr>
        <w:t>kvinna¹</w:t>
      </w:r>
      <w:r>
        <w:rPr>
          <w:b w:val="0"/>
        </w:rPr>
        <w:t xml:space="preserve"> en pension. Men det är Ju en sak att rösta för en pension inom utskottet och en annan sak att ansluta sig till en reservation. De av kammarens ledamöter, som sitta i utskott, veta ju själva ganska bra, att man icke alltid går med på en reservation, fastän man icke vunnit gehör inom utskottet. Emellertid har Jag vid denna punkt fogat en reservation, däri jag hemställt om en pension på 600 kronor, alltså icke fullt hälften av vad </w:t>
      </w:r>
      <w:r>
        <w:rPr>
          <w:b/>
        </w:rPr>
        <w:t>hon²</w:t>
      </w:r>
      <w:r>
        <w:rPr>
          <w:b w:val="0"/>
        </w:rPr>
        <w:t xml:space="preserve"> hade fått, därest </w:t>
      </w:r>
      <w:r>
        <w:rPr>
          <w:b/>
        </w:rPr>
        <w:t>hon²</w:t>
      </w:r>
      <w:r>
        <w:rPr>
          <w:b w:val="0"/>
        </w:rPr>
        <w:t xml:space="preserve"> författningsenligt på grund av sjukdom blivit beviljad pension. Jag vädjar till kammaren att taga hänsyn till de förhållanden, som här föreligga. Av handlingarna i detta ärende framgår det, både av folkskolinspektörens yttrande och av medicinalstyrelsens, sådana förhållanden, som bestyrka, vad makarna gjort gällande. Jag tror, det vore fullkomligt riktigt, om riksdagen av billighetsskäl med hänsyn till de ömmande förhållanden, som i detta fall föreligga, gick med på att bevilja en pension av den storlek, som i reservationen föreslås.</w:t>
        <w:br/>
        <w:br/>
        <w:t>Jag ber, herr talman, att få yrka bifall till den av mig vid punkten fogade reservationen.</w:t>
      </w:r>
    </w:p>
    <w:p>
      <w:pPr>
        <w:pStyle w:val="Heading2"/>
      </w:pPr>
      <w:r>
        <w:t>5. Lars Borggren (Socialdemokraterna, man)</w:t>
      </w:r>
    </w:p>
    <w:p>
      <w:r>
        <w:rPr>
          <w:b w:val="0"/>
        </w:rPr>
        <w:t>Herr talman! Det är ju alldeles riktigt, som herr Bäcklund här framhållit, att det fall, som här föreligger, är av mycket ömmande beskaffenhet och naturligtvis av sådan beskaffenhet, att det kanske från riksdagens sida borde beviljas någon hjälp.</w:t>
        <w:br/>
        <w:br/>
        <w:t xml:space="preserve">Men när man behandlade denna fråga inom utskottet, försökte man göra det så grundligt som möjligt, och man kunde då inom utskottsmajoriteten icke vara med om att bevilja någon pension i detta fall. Jag undrar, huru det egentligen skulle gå, om staten i dylika fall, när det visade sig föreligga särskilt ömmande omständigheter, skulle bevilja pensioner till personer, som icke på något sätt vore berättigade till sådana. Denna </w:t>
      </w:r>
      <w:r>
        <w:rPr>
          <w:b/>
        </w:rPr>
        <w:t>lärarinna³</w:t>
      </w:r>
      <w:r>
        <w:rPr>
          <w:b w:val="0"/>
        </w:rPr>
        <w:t xml:space="preserve"> ingick ju äktenskap 1921, och det finns väl ingen, som skulle velat förbjuda </w:t>
      </w:r>
      <w:r>
        <w:rPr>
          <w:b/>
        </w:rPr>
        <w:t>henne²</w:t>
      </w:r>
      <w:r>
        <w:rPr>
          <w:b w:val="0"/>
        </w:rPr>
        <w:t xml:space="preserve"> det, utan det var </w:t>
      </w:r>
      <w:r>
        <w:rPr>
          <w:b/>
        </w:rPr>
        <w:t>hon²</w:t>
      </w:r>
      <w:r>
        <w:rPr>
          <w:b w:val="0"/>
        </w:rPr>
        <w:t xml:space="preserve"> givetvis fullt berättigad till. Sedan </w:t>
      </w:r>
      <w:r>
        <w:rPr>
          <w:b/>
        </w:rPr>
        <w:t>hon²</w:t>
      </w:r>
      <w:r>
        <w:rPr>
          <w:b w:val="0"/>
        </w:rPr>
        <w:t xml:space="preserve"> ingått detta äktenskap, drabbades </w:t>
      </w:r>
      <w:r>
        <w:rPr>
          <w:b/>
        </w:rPr>
        <w:t>hon²</w:t>
      </w:r>
      <w:r>
        <w:rPr>
          <w:b w:val="0"/>
        </w:rPr>
        <w:t xml:space="preserve"> av sjukdom, och denna sjukdom har </w:t>
      </w:r>
      <w:r>
        <w:rPr>
          <w:b/>
        </w:rPr>
        <w:t>hon²</w:t>
      </w:r>
      <w:r>
        <w:rPr>
          <w:b w:val="0"/>
        </w:rPr>
        <w:t xml:space="preserve"> sedan på olika håll försökt skaffa sig bot för. Men det har icke lyckats, utan </w:t>
      </w:r>
      <w:r>
        <w:rPr>
          <w:b/>
        </w:rPr>
        <w:t>hon²</w:t>
      </w:r>
      <w:r>
        <w:rPr>
          <w:b w:val="0"/>
        </w:rPr>
        <w:t xml:space="preserve"> är fortfarande sjuk. Nu har ju ärendet varit hänvisat både till pensionsanstalten och till statskontoret, men dessa ämbetsverk hava också uttalat, att det icke vore bevisat, att </w:t>
      </w:r>
      <w:r>
        <w:rPr>
          <w:b/>
        </w:rPr>
        <w:t>hon²</w:t>
      </w:r>
      <w:r>
        <w:rPr>
          <w:b w:val="0"/>
        </w:rPr>
        <w:t xml:space="preserve"> ådragit sig sin sjukdom i tjänsten. När detta icke kunnat bevisas, förefaller det mig ganska märkvärdigt, om man från riksdagens sida skulle bevilja understödet i fråga. För min del anser Jag, att skolrådet i den kommun, där denna </w:t>
      </w:r>
      <w:r>
        <w:rPr>
          <w:b/>
        </w:rPr>
        <w:t>lärarinna³</w:t>
      </w:r>
      <w:r>
        <w:rPr>
          <w:b w:val="0"/>
        </w:rPr>
        <w:t xml:space="preserve"> haft sin verksamhet, om det verkligen vill hjälpa </w:t>
      </w:r>
      <w:r>
        <w:rPr>
          <w:b/>
        </w:rPr>
        <w:t>henne²</w:t>
      </w:r>
      <w:r>
        <w:rPr>
          <w:b w:val="0"/>
        </w:rPr>
        <w:t xml:space="preserve">, bör kunna bevilja </w:t>
      </w:r>
      <w:r>
        <w:rPr>
          <w:b/>
        </w:rPr>
        <w:t>henne²</w:t>
      </w:r>
      <w:r>
        <w:rPr>
          <w:b w:val="0"/>
        </w:rPr>
        <w:t xml:space="preserve"> något anslag från kommunens sida för den goda tjänst </w:t>
      </w:r>
      <w:r>
        <w:rPr>
          <w:b/>
        </w:rPr>
        <w:t>hon²</w:t>
      </w:r>
      <w:r>
        <w:rPr>
          <w:b w:val="0"/>
        </w:rPr>
        <w:t xml:space="preserve"> gjort kommunen under den tid, </w:t>
      </w:r>
      <w:r>
        <w:rPr>
          <w:b/>
        </w:rPr>
        <w:t>hon²</w:t>
      </w:r>
      <w:r>
        <w:rPr>
          <w:b w:val="0"/>
        </w:rPr>
        <w:t xml:space="preserve"> varit anställd. Detta anser jag vara mera rimligt och rättvist än att från statens sida bevilja något understöd.</w:t>
        <w:br/>
        <w:br/>
        <w:t>Jag tillåter mig, herr talman, på grund av vad Jag här anfört, yrka bifall till utskottets förslag. Och jag kan försäkra kammarens ledamöter, att banko-</w:t>
        <w:br/>
        <w:br/>
        <w:t>utskottet har prövat denna sak på ett sådant sätt, att man icke kunnat komma till någon annan uppfattning än den utskottet här företräder.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