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598</w:t>
      </w:r>
    </w:p>
    <w:p>
      <w:r>
        <w:rPr>
          <w:b/>
        </w:rPr>
        <w:t xml:space="preserve">Datum: </w:t>
      </w:r>
      <w:r>
        <w:t>1929-04-27</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Johnsson (Socialdemokraterna, man)</w:t>
      </w:r>
    </w:p>
    <w:p>
      <w:r>
        <w:rPr>
          <w:b w:val="0"/>
        </w:rPr>
        <w:t xml:space="preserve">Herr talman! Den man, om vilken nu är fråga, var extralärare i Östersund och hade i sju år tjänstgjort vid svenskt skolväsende, fastän han icke fått tillgodoräkna sig mer än tre år. Han sjönk ihop knall och fall på katedern under sin tjänstgöring, och då han kördes hem, fanns det i hemmet icke 70 öre till att betala bilen. Hans </w:t>
      </w:r>
      <w:r>
        <w:rPr>
          <w:b/>
        </w:rPr>
        <w:t>hustru²</w:t>
      </w:r>
      <w:r>
        <w:rPr>
          <w:b w:val="0"/>
        </w:rPr>
        <w:t xml:space="preserve">, som är tyska, är i det närmaste blind och har tre små oförsörjda barn. Detta fall är synnerligen behjärtansvärt. Kungl. Maj:t har också i sin proposition hemställt, att någon hjälp skulle: lämnas </w:t>
      </w:r>
      <w:r>
        <w:rPr>
          <w:b/>
        </w:rPr>
        <w:t>henne²</w:t>
      </w:r>
      <w:r>
        <w:rPr>
          <w:b w:val="0"/>
        </w:rPr>
        <w:t xml:space="preserve">. I motionen har jag hemställt, att </w:t>
      </w:r>
      <w:r>
        <w:rPr>
          <w:b/>
        </w:rPr>
        <w:t>änkan²</w:t>
      </w:r>
      <w:r>
        <w:rPr>
          <w:b w:val="0"/>
        </w:rPr>
        <w:t xml:space="preserve"> skulle få 600 kronor i årligt understöd och att vart och ett av de tre barnen skulle få 180 kronor intill 18 års ålder.</w:t>
        <w:br/>
        <w:br/>
        <w:t>Jag tillåter mig, herr talman, yrka bifall till min motion.</w:t>
      </w:r>
    </w:p>
    <w:p>
      <w:pPr>
        <w:pStyle w:val="Heading2"/>
      </w:pPr>
      <w:r>
        <w:t>2. Carl Svensson (Socialdemokraterna, man)</w:t>
      </w:r>
    </w:p>
    <w:p>
      <w:r>
        <w:rPr>
          <w:b w:val="0"/>
        </w:rPr>
        <w:t>Hittills har riksdagen upprätthållit den principen att såsom villkor för beviljande av familjeunderstöd åt efterlevande till i statstjänst anställda, som icke varit i tillfälle att tillhöra någon familjepensionskassa, uppställa det kravet, att vederbörande tjänsteman skall hava varit anställd i statstjänst någon icke alltför kort tid. I detta fall gäller det de efterlevande till en extra ordinarie ämneslärare vid ett allmänt läroverk, vilken innehaft statstjänst i endast omkring tre år. Det är klart, att om riksdagen skulle bifalla denna framställning, skulle detta innebära, att den princip, som tidigare — och efter min mening med all rätt — upprätthållits, skulle vara lagd åt sidan. I detta fall föreligger visserligen mycket ömmande omständigheter, så att det gör mig ganska ont att med hänsyn till ifrågavarande principiella skäl ändock nödgas yrka bifall till utskottets förslag.</w:t>
      </w:r>
    </w:p>
    <w:p>
      <w:pPr>
        <w:pStyle w:val="Heading2"/>
      </w:pPr>
      <w:r>
        <w:t>3. Wilhelm Björck (Socialdemokraterna, man)</w:t>
      </w:r>
    </w:p>
    <w:p>
      <w:r>
        <w:rPr>
          <w:b w:val="0"/>
        </w:rPr>
        <w:t>Herr talman! Jag har den allra största respekt för bankoutskottets granskning av alla hithörande spörsmål, och jag behjärtar också till fullo de mycket svåra avgöranden, som gång på gång möta inom utskottet, när det gäller att ge mänsklighetssynpunkterna vad som kan vara skäligt. Det lyste igenom utskottets ärade ordförandes yttrande, att även enligt hans mening nu föreliggande fall är ovanligt ömmande, och uppenbarligen gick</w:t>
        <w:br/>
        <w:br/>
        <w:t>han icke utan en viss självövervinnelse att föra utskottets talan. Man kunde därur även utläsa, tycker jag, en viss sympati för den talare, som nyss djärvdes mot utskottet hävda mänsklighetssynpunkterna. Jag saknar för egen cel ingalunda respekt för konsekvenser. De följa ideligen både på det ena och det andra området. Men jag tror ändå, att läget i detta fall är så osedvanligt ömmande, att man knappast kan tänka sig lika talande omständigheter föreligga i så många andra liknande fall.</w:t>
        <w:br/>
        <w:br/>
        <w:t xml:space="preserve">Den person, som det här gäller och som hastigt avled i sin tjänst, såsom vi nyss hörde, hade dessförinnan varit i kommunala mellanskolans tjänst och hade såsom sådan varit i tillfälle att erlägga </w:t>
      </w:r>
      <w:r>
        <w:rPr>
          <w:b/>
        </w:rPr>
        <w:t>änkepensionsavgifter²</w:t>
      </w:r>
      <w:r>
        <w:rPr>
          <w:b w:val="0"/>
        </w:rPr>
        <w:t xml:space="preserve">. Hade han fortsatt i kommunal tjänst, skulle han ha kunnat komma upp till ett något större understöd för </w:t>
      </w:r>
      <w:r>
        <w:rPr>
          <w:b/>
        </w:rPr>
        <w:t>änkan²</w:t>
      </w:r>
      <w:r>
        <w:rPr>
          <w:b w:val="0"/>
        </w:rPr>
        <w:t xml:space="preserve"> än det lilla, som utgår, men under de tre år, som han sedermera varit i statstjänst, förelågo inga fysiska möjligheter för honom att med nu gällande författningar själv klara </w:t>
      </w:r>
      <w:r>
        <w:rPr>
          <w:b/>
        </w:rPr>
        <w:t>änkepensionsfrågan²</w:t>
      </w:r>
      <w:r>
        <w:rPr>
          <w:b w:val="0"/>
        </w:rPr>
        <w:t xml:space="preserve">. Vi hörde ryss från motionären, att här står en </w:t>
      </w:r>
      <w:r>
        <w:rPr>
          <w:b/>
        </w:rPr>
        <w:t>änka²</w:t>
      </w:r>
      <w:r>
        <w:rPr>
          <w:b w:val="0"/>
        </w:rPr>
        <w:t xml:space="preserve"> med starkt försvagad syn och med tre oförsörjda barn, av vilka ett ligger på tuberkulossjukhus. Tillgångarna i boet äro praktiskt taget inga. Nöden har hållits borta från dörren genom insamling, först och främst i det kollegium, som mannen under livstiden tillhörde, och sedermera bland befolkningen i trakten. Under dessa verkligt ömmande förhållanden skulle jag verkligen vilja vädja till kammaren att för en enstaka gång göra ett avsteg från de regler, som eljest tillämpas på detta område, och jag känner mig ganska förvissad om, att man icke så ofta skall möta så sällsynt ömmande omständigheter som här. Den saken är för övrigt vitsordad även i utskottets utlåtande.</w:t>
        <w:br/>
        <w:br/>
        <w:t>Med dessa ord hemställer jag, herr talman, om bifall till Kungl. Maj:ts förslag oförändrat.</w:t>
      </w:r>
    </w:p>
    <w:p>
      <w:pPr>
        <w:pStyle w:val="Heading2"/>
      </w:pPr>
      <w:r>
        <w:t>4. Johan Johnsson (Socialdemokraterna, man)</w:t>
      </w:r>
    </w:p>
    <w:p>
      <w:r>
        <w:rPr>
          <w:b w:val="0"/>
        </w:rPr>
        <w:t>Herr talman! Jag ber att få ändra mitt yrkande dithän, att jag instämmer med herr Björck i hans yrkande om bifall till Kungl. Maj:ts förslag.</w:t>
        <w:br/>
        <w:br/>
        <w:t>Efter det överläggningen förklarats härmed slutad, gjorde herr talmannen enligt därunder förekomna yrkanden propositioner, först på bifall till vad utskottet i den under behandling varande punkten hemställt samt vidare på bifall till Kungl. Maj:ts i ämnet gjorda framställning; och förklarade herr talmannen, sedan han upprepat propositionen på bifall till utskottets hemställan, sig anse denna proposition vara med övervägande ja besvarad.</w:t>
      </w:r>
    </w:p>
    <w:p>
      <w:pPr>
        <w:pStyle w:val="Heading2"/>
      </w:pPr>
      <w:r>
        <w:t>5. Ulrik Leander (Frisinnade folkpartiet, man)</w:t>
      </w:r>
    </w:p>
    <w:p>
      <w:r>
        <w:rPr>
          <w:b w:val="0"/>
        </w:rPr>
        <w:t xml:space="preserve">Herr talman! Jag har i en motion, som behandlas i denna punkt, hemställt att fyrvaktaränkan Ada Ottilia Bergström, född Jönsson, må från och med den 1 januari 1929 under sin återstående livstid, så länge </w:t>
      </w:r>
      <w:r>
        <w:rPr>
          <w:b/>
        </w:rPr>
        <w:t>hon²</w:t>
      </w:r>
      <w:r>
        <w:rPr>
          <w:b w:val="0"/>
        </w:rPr>
        <w:t xml:space="preserve"> förbliver i sitt nuvarande </w:t>
      </w:r>
      <w:r>
        <w:rPr>
          <w:b/>
        </w:rPr>
        <w:t>änkestånd²</w:t>
      </w:r>
      <w:r>
        <w:rPr>
          <w:b w:val="0"/>
        </w:rPr>
        <w:t xml:space="preserve">, från allmänna indragningsstaten uppbära en årlig pension å 384 kronor. Mannen avled år 1919. Utskottet påpekar, att då han år 1912 tillträdde ordinarie befattning, hade det ålegat honom att ingå 1 lotsverkets pensionskassa för att sålunda bereda pension åt sina efterlevande, men att han uraktlåtit att göra detta. Jag anser dock, att skulden till denna uraktlåtenhet mera påvilar den myndighet, som utnämnde honom till befattningen ifråga, än Bergström själv. Ifall de statstjänare, som utnämnas till ordinarie befattning, icke av vederbörande myndighet avfordras föreskrivna avgifter till den </w:t>
      </w:r>
      <w:r>
        <w:rPr>
          <w:b/>
        </w:rPr>
        <w:t>änkeoch²</w:t>
      </w:r>
      <w:r>
        <w:rPr>
          <w:b w:val="0"/>
        </w:rPr>
        <w:t xml:space="preserve"> pensionskassa, som de äro skyldiga att tillhöra, tror jag, att mången skulle göra sig skyldig till en dylik uraktlåtenhet. I varje fall kan det icke läggas </w:t>
      </w:r>
      <w:r>
        <w:rPr>
          <w:b/>
        </w:rPr>
        <w:t>änkan²</w:t>
      </w:r>
      <w:r>
        <w:rPr>
          <w:b w:val="0"/>
        </w:rPr>
        <w:t xml:space="preserve"> Bergström till last, att </w:t>
      </w:r>
      <w:r>
        <w:rPr>
          <w:b/>
        </w:rPr>
        <w:t>hennes²</w:t>
      </w:r>
      <w:r>
        <w:rPr>
          <w:b w:val="0"/>
        </w:rPr>
        <w:t xml:space="preserve"> man icke kom att inträda i pensionskassan, och </w:t>
      </w:r>
      <w:r>
        <w:rPr>
          <w:b/>
        </w:rPr>
        <w:t>hon²</w:t>
      </w:r>
      <w:r>
        <w:rPr>
          <w:b w:val="0"/>
        </w:rPr>
        <w:t xml:space="preserve"> är naturligtvis icke hjälpt med att detta förhållande nu påpekas.</w:t>
        <w:br/>
        <w:br/>
        <w:t xml:space="preserve">Nu påpekar emellertid utskottet, att riksdagen till lotsstyrelsens förfogande ställt ett särskilt anslag å 15,000 kronor, avsett att efter lotsstyrelsens prövning av inkomna ansökningar användas för beredande av understöd åt vissa förutvarande befattningshavare vid lotsverket eller deras änkor och barn. Tillika upplyser utskottet, att </w:t>
      </w:r>
      <w:r>
        <w:rPr>
          <w:b/>
        </w:rPr>
        <w:t>änkan²</w:t>
      </w:r>
      <w:r>
        <w:rPr>
          <w:b w:val="0"/>
        </w:rPr>
        <w:t xml:space="preserve"> Bergström under senare år ifrån detta anslag erhållit 100 kronor per år. Sedan säger utskottet, att det syntes detsamma, som om det understöd, vilket hittills beviljats </w:t>
      </w:r>
      <w:r>
        <w:rPr>
          <w:b/>
        </w:rPr>
        <w:t>henne²</w:t>
      </w:r>
      <w:r>
        <w:rPr>
          <w:b w:val="0"/>
        </w:rPr>
        <w:t xml:space="preserve"> från ovan omförmälda anslag varit — särskilt i betraktande därav, att </w:t>
      </w:r>
      <w:r>
        <w:rPr>
          <w:b/>
        </w:rPr>
        <w:t>hon²</w:t>
      </w:r>
      <w:r>
        <w:rPr>
          <w:b w:val="0"/>
        </w:rPr>
        <w:t xml:space="preserve"> har att sörja för ett minderårigt barn — väl ringa i förhållande till de understöd, som under liknande omständigheter pläga beviljas av riksdagen åt änkor efter avlidna statstjänare. Det är just detta, som jag ber att få understryka, och jag hoppas nu, att </w:t>
      </w:r>
      <w:r>
        <w:rPr>
          <w:b/>
        </w:rPr>
        <w:t>änkan²</w:t>
      </w:r>
      <w:r>
        <w:rPr>
          <w:b w:val="0"/>
        </w:rPr>
        <w:t xml:space="preserve"> Bergström hädanefter måtte få ett större belopp från detta anslag. Om möjligen den invändningen reses däremot, att anslaget icke räcker till och att lotsstyrelsen, som har många att tänka på, icke kan bevilja </w:t>
      </w:r>
      <w:r>
        <w:rPr>
          <w:b/>
        </w:rPr>
        <w:t>henne²</w:t>
      </w:r>
      <w:r>
        <w:rPr>
          <w:b w:val="0"/>
        </w:rPr>
        <w:t xml:space="preserve"> mera, är saken hjälpt med att lotsstyrelsen gör en framställning om, att detta anslag måtte ökas. Jag är förvissad om, att om en sådan begäran inkommer, riksdagen då icke skall avslå densamma.</w:t>
        <w:br/>
        <w:br/>
        <w:t>Jag har särskilt velat påpeka detta, herr talman, men jag har för övrigt intet yrkande att göra.</w:t>
      </w:r>
    </w:p>
    <w:p>
      <w:pPr>
        <w:pStyle w:val="Heading2"/>
      </w:pPr>
      <w:r>
        <w:t>6. Carl Svensson (Socialdemokraterna, man)</w:t>
      </w:r>
    </w:p>
    <w:p>
      <w:r>
        <w:rPr>
          <w:b w:val="0"/>
        </w:rPr>
        <w:t>Herr talman! Såsom framgår av utskottets utlålande, har lotsstyrelsen ett särskilt anslag, avsett att efter styrelsens prövning användas för beredande av understöd åt vissa förutvarande befattningshavare i lotsverket och deras änkor och barn. Den fyrvaktaränka Bergström,</w:t>
        <w:br/>
        <w:br/>
        <w:t xml:space="preserve">för vilken motionären hemställt om pension, tillhör den kategori, som kan erhålla understöd från det ifrågavarande anslaget, och det är naturligtvis riktigt, att det icke ges understöd från olika håll. Emellertid har ju utskottet påpekat, att det understöd, som </w:t>
      </w:r>
      <w:r>
        <w:rPr>
          <w:b/>
        </w:rPr>
        <w:t>änkan²</w:t>
      </w:r>
      <w:r>
        <w:rPr>
          <w:b w:val="0"/>
        </w:rPr>
        <w:t xml:space="preserve"> Bergström erhåller av lotsstyrelsen, är mycket ringa, och jag förmodar, att anledningen till detta är den, att ifrågavarande anslag icke är tillräckligt för att ge ett någorlunda hyggligt understöd. Jag vill därför för min del understryka samma synpunkt, som motionären framhållit, att lotsstyrelsen måtte se till, att, om anslaget icke är tillräckligt, styrelsen hos Kungl. Maj:t och riksdagen hemställer om höjning av detsamma, så att det verkligen räcker till för det avsedda ändamålet.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