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605</w:t>
      </w:r>
    </w:p>
    <w:p>
      <w:r>
        <w:rPr>
          <w:b/>
        </w:rPr>
        <w:t xml:space="preserve">Datum: </w:t>
      </w:r>
      <w:r>
        <w:t>1929-05-19</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Axel Reuterskiöld (Utan partibeteckning, man)</w:t>
      </w:r>
    </w:p>
    <w:p>
      <w:r>
        <w:rPr>
          <w:b w:val="0"/>
        </w:rPr>
        <w:t>Herr talman! Det intressanta i konstitutionsutskottets utlåtande nr 19 är icke utskottets eget yttrande. Det är fullt av samma gamla dogmatism, som bygger på 1918 års utredning och icke har blick för, att den ingalunda är vare sig fullständig eller uttömmande, fastän den fått en sakrosankt natur i mångas ögon. Utan det intressanta ligger i de två reservationerna, och jag skall tillåta mig att stryka under, var intresset där närmast är att söka.</w:t>
        <w:br/>
        <w:br/>
        <w:t>I den första reservationen är det intressanta det, att samtliga högermän, såvitt jag kunnat se, gått in för ett bifall i så gott som oförändrad form till den bondeförbundsmotion, som är framlagd, i vad den avser avskaffandet av census mot viss ersättning. Skillnaden är endast ett litet ord, i det att reservationen föreslår »eventuellt med upphävande av census för valbarhet till första kammaren», under det att i motionen ordet »eventuellt» saknas. Genom den förste ärade talarens inlägg är tillika konstaterat, vad som redan påbegyntes under föregående års riksdag, att högern också uppgivit sin gamla ståndpunkt, i det att den numera anser det åtminstone vara tänkbart, att man kan skilja mellan dem, som av oförvållad oförmåga häfta, och dem, som på grund av skatteskolkning och olust att betala häfta. Det har förut påståtts vara ogörligt att göra denna skillnad, men den ärade talaren i dag framhöll, att möjligheten av en sådan skillnad skulle man kunna praktiskt undersöka, och det är alltid ett stort steg framåt.</w:t>
        <w:br/>
        <w:br/>
        <w:t>Jag ser således häri, att högern närmat sig den ståndpunkt, som bondeförbundet år efter år har kämpat för, och genom den gemensamma reservation, som här är avgiven, ha båda tagit steget ut till census avskaffande — låt vara med det där lilla ordet »eventuellt», som inte betyder någonting annat än att det kommer att bli så.</w:t>
        <w:br/>
        <w:br/>
        <w:t>Den andra reservationen är ännu mer intressant, men där måste man läsa med uppmärksamhet, och kanhända också läsa mellan raderna. I denna reservation, som är avgiven av herr David Bergström m. fl., redogöres för hur denna fråga behandlats. Jag tillåter mig delvis bestrida riktigheten av vad som säges i begynnelsen, att »under medverkan från dess samtliga partier» har det krav som nu framställts i bondeförbundsmotionerna tidigare blivit av riksdagen underkänt. Ty år 1918 var bondeförbundet som sådant icke med i någon uppgörelse, och därför kan man icke säga, att bondeförbundet då eller sedan på något som helst sätt varit bundet av denna uppgörelse som redan 1920 vägrades förverkligande av det då i riksdagen representerade bondeförbundet. Vidare säges i denna reservation, att riksdagen begärt dels lag om införsel i lön och fått den, dels i skrivelse en utredning rörande en mera rationell skatteuppbörd, en utredning, som man väntar att få till den 1 juli i år — det står inte 1 juli, men jag vet, att man tänker sig 1 juli som den tidpunkt, då denna utredning skall komma. Och så säges det: »I vad mån ett därpå</w:t>
        <w:br/>
        <w:br/>
        <w:t>grundat förslag skall kunna infria de därtill knutna förväntningarna i här berört avseende är givetvis omöjligt att nu förutsäga. Den av statsmakterna anvisade utvägen har sålunda ännu icke prövats, och de verkningar, till vilka den kan leda, böra därför avvaktas. Vid sådant förhållande har utskottet icke kunnat giva motionärernas yrkande sin anslutning.» Om man nu stryker under orden »vid sådant förhållande», och jag anser mig ha rätt att göra det, ligger däri, att därest nyssnämnda utredning skulle visa att vägen är oframkomlig, så förfaller reservanternas motvilja mot den utredning, som har begärts i bondeförbundsmotionerna. Det är »vid sådant förhållande», att man ännu icke prövat den väg riksdagen tidigare tänkt sig och icke kommit till slutligt avgörande om dess framkomlighet, som man avböjer den nya utredningen. Här sträcks alltså dock fram en hand, som innebär, att försåvitt den utredning, vilken väntas till den 1 juli, skulle visa sig vara av den art, att man icke kan nå det resultat, som man därav hoppats — och det tror knappast någon vara möjligt — välan, då får man lov att överväga, om icke de åtgärder, som i bondeförbundets motioner begärts, måste tagas upp till verklig prövning. Man har icke lovat att göra detta, man har endast sagt, att då förfaller det nuvarande skälet för att avslå dem. Det är sålunda endast ett temporärt avslag på motionen, och däri antecknar jag ett närmande i allra högsta grad till den ståndpunkt, som bondeförbundet har representerat och fortfarande representerar.</w:t>
        <w:br/>
        <w:br/>
        <w:t>Men, när det nu kommit ett närmande på detta sätt från två håll till bondeförbundets ståndpunkt, tycker man onekligen, att det inte bort ha varit så särdeles svårt att också komma ett litet steg längre, att komma till en slutlig uppgörelse redan nu rörande hela frågan mellan dessa olika partier, högern, de frisinnade och bondeförbundet. Jag skulle därför för min del icke ha någonting i och för sig emot, att utskottets båda följande betänkanden bleve vilande, om man skulle kunna godkänna vad som står i dem i övrigt. Om man nämligen gör dem vilande, har man möjligheten att i allt fall komma till den uppgörelse i denna fråga, som vinkar ett kommande år. Vi ha en fyraårsperiod för oss, och om ett förslag blir vilande nu, skulle det dock kunna tänkas, att man, i fall av behov, kan rätta till sådant, som icke vid en slutlig uppgörelse finnes lämpligt behålla.</w:t>
        <w:br/>
        <w:br/>
        <w:t>Jag har därför ingenting emot, alt det förslag, över vilket utskottet i sitt betänkande nr 21 avgivit utlåtande, nämligen angående inskränkning i konungens rätt att upplösa första kammaren, blir vilande. Jag vill inte säga, att det har givit den bästa formuleringen, men jag tror, att om förslaget blir vilande, har man en anknytningsmöjlighet, vilken bör kunna begagnas på ett sådant sätt, att hela frågan löses i ett sammanhang och på ett förträffligt sätt. Därförutan blir uppgörelsen försvårad.</w:t>
        <w:br/>
        <w:br/>
        <w:t xml:space="preserve">Däremot måste jag säga, att vad i konstitutionsutskottets utlåtande nr 20 föreslås blir vilande, nämligen den nya texten till 8 9 riksdagsordningen, den kan jag för min del icke acceptera. Jag skulle acceptera den, om den i och för sig vore antaglig, därför att jag anser, att vi nu måste komma ifrån census, men sådant som förslaget nu är formulerat kan jag icke godtaga det. Det heter nämligen — herr talmannen har tillåtit mig att yttra mig över samtliga dessa betänkanden på en gång, då de ju beröra varandra — i texten enligt utskottets förslag: »Till ledamöter i första kammaren kunna endast väljas i kommunernas allmänna angelägenheter röstberättigade män och </w:t>
      </w:r>
      <w:r>
        <w:rPr>
          <w:b/>
        </w:rPr>
        <w:t>kvinnor¹</w:t>
      </w:r>
      <w:r>
        <w:rPr>
          <w:b w:val="0"/>
        </w:rPr>
        <w:t>, som uppnått 35 års ålder.» Genom att taga denna formulering slår man fast i grundlagen, att ett års skattebetalning är tillräcklig för valbarhet till första kammaren — den kommunala rösträtten är nämligen beroende av ett års fullgjord skattebetalning. Jag tror icke det vara klokt och riktigt att fastslå en sådan bestämmelse. Hade det kunnat sättas in, att man fordrar tre års full-</w:t>
        <w:br/>
        <w:br/>
        <w:t>gjord skattebetalning, skulle jag inte ha haft ett spår att invända mot att förslaget bleve vilande. Men att slå fast som princip, att för valbarhet till första kammaren det allenast skall fordras ett års skattebetalning, synes mig icke vara riktigt. Därför måste jag i avseende på detta betänkande rösta för avslag på utskottets hemställan, under det att jag, som sagt, med avseende på utskottets betänkande nr 21, som innebär ett avstyrkande av den föreliggande motionen om första kammarens relativa oupplöslighet, kommer att rösta med reservanterna för att göra deras förslag vilande.</w:t>
        <w:br/>
        <w:br/>
        <w:t>Då det resultat, vartill uppbördskommitterade kunna komma, säkerligen icke blir av den art man hoppats, nödgas man alltså inom kort taga upp frågan om skattebetalningsstreckets återinförande. Och ha vi kommit så långt, hoppas jag, att vid nästkommande riksdag frågan skall erhålla en bättre utgång än i år. Med hänsyn till vad jag nu anfört stannar jag emellertid, vad utskottets utlåtande nr 19 beträffar, vid bifall till den av herr von Geijer m. fl. avgivna och med bondeförbundsmotionerna sammanstämmande reservationen.</w:t>
      </w:r>
    </w:p>
    <w:p>
      <w:pPr>
        <w:pStyle w:val="Heading2"/>
      </w:pPr>
      <w:r>
        <w:t>2. David Bergström (Frisinnade folkpartiet, man)</w:t>
      </w:r>
    </w:p>
    <w:p>
      <w:r>
        <w:rPr>
          <w:b w:val="0"/>
        </w:rPr>
        <w:t>Herr talman! Det är ju så, att i detta utskottsbetänkande såväl som i de båda reservationerna sysselsätter man sig på sätt och vis med tvenne problem: ett skattepolitiskt problem och ett valvpolitiskt. Om man lyckas att komma till rätta med det förra problemet, och det anses ju — hur nu än professor Reuterskiöld uttolkar orden i den ena eller andra reservationen, och han är som bekant en gammal uttolkare — att det finns mycket goda utsikter att komma till rätta med det skattepolitiska problemet, är det enligt min åsikt också de största utsikter för, att vi även skola komma till rätta med det valpolitiska problemet. Under sådana förhållanden, mina herrar, och ifall man delar denna mening, synes det mig, att man bör sluta upp kring den reservation, som klarast ger uttryck åt denna mening, och det är den reservation, som av mig och en medreservant framförts och till vilken jag, herr talman, tillåter mig att yrka bifall.</w:t>
        <w:br/>
        <w:br/>
        <w:t xml:space="preserve">Till ledamöter i första kammaren &lt;&lt;+Till ledamöter i första kammaren kunna endast väljas män och </w:t>
      </w:r>
      <w:r>
        <w:rPr>
          <w:b/>
        </w:rPr>
        <w:t>kvinnor¹</w:t>
      </w:r>
      <w:r>
        <w:rPr>
          <w:b w:val="0"/>
        </w:rPr>
        <w:t>, kunna endast väljas i kommunernas</w:t>
        <w:br/>
        <w:br/>
        <w:t>understigande femtiotusen riksdaler, efter det han blivit vald, i den ställeller ock till staten skatta samt under ning, att han ej längre skulle varit tid, som nyss är sagd, skattat för valbar till ledamot i kammaren, frånminst tre tusen riksdaler årlig inträder han sin befattning.</w:t>
        <w:br/>
        <w:br/>
        <w:t>det han vald blivit, i den ställning, att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605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