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1847</w:t>
      </w:r>
    </w:p>
    <w:p>
      <w:r>
        <w:rPr>
          <w:b/>
        </w:rPr>
        <w:t xml:space="preserve">Datum: </w:t>
      </w:r>
      <w:r>
        <w:t>1930-02-28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Algot Törnkvist (Socialdemokraterna, man)</w:t>
      </w:r>
    </w:p>
    <w:p>
      <w:r>
        <w:rPr>
          <w:b w:val="0"/>
        </w:rPr>
        <w:t>En ärad representant på hallandsbänken fann anledning att protestera mot det sätt, varpå jag talat om bankoutskottet, men för min del får jag säga, att den protesten är alldeles obefogad, därför att en sådan behandling av bankoutskottet, som kunde ge anledning till ett sådant påstående, har icke förekommit i mitt anförande. Jag för min del underströk i stället, att jag själv hade erfarenhet sedan många år tillbaka rörande svårigheterna vid dessa ärendens behandling i bankoutskottet, och det vore mig långt ifrån att i något avseende vilja lägga sten på börda på bankoutskottets ledamöter. Jag antar att det endast är den arbetsmängd, som är förknippad med dessa motioner, som hos utskottet framkallat tanken på att söka få till stånd en annan ordning för behandlingen av dessa ärenden, men jag har den uppfattningen, att dessa spörsmål böra fortfarande vara kvar i riksdagen.</w:t>
        <w:br/>
        <w:br/>
        <w:t>Jag vill också erinra därom, att riksdagen uppenbarligen kan vara mera human i sitt betraktelsesätt än en enskild Kungl. Maj:ts tjänsteman i ett departement, som sitter ensam och granskar de olika akter, som ligga till grund för ansökningar om pension. Det kan väl icke vara förnärmande mot bankoutskottet, icke heller mot riksdagen eller Kungl. Maj:t, ty det är väl självfallet att i bankoutskottet behandlingen av ärenden av denna beskaffenhet blir fullständigare med sexton personers olika syn på frågorna, medan när en ensam tjänsteman i ett departement förbereder dessa pensionsfrågor, frågan kan falla på ett missförstånd, som ingen i samma sammanhang kan korrigera. Det är väl ingen, som kan inbilla sig, att Kungl. Maj:ts minister har så litet att göra eller är så litet arbetsbelastad, att han har möjlighet att gå igenom alla handlingar så ingående, att han på detta sätt kan ställa sig ansvarig annat än rent formellt.</w:t>
        <w:br/>
        <w:br/>
        <w:t>Vidare vill jag säga — jag sade det icke i mitt föregående yttrande, därför att jag inte trodde, att debatten skulle bli så lång — att när riksdagen i fjol skrev till Kungl. Maj:t, så lär väl åtminstone denna kammare haft den uppfattningen, att man skulle kunna göra en rationell gräns vid 444-kronorsstrecket sålunda, att de pensioner, som ligga under denna gräns, skulle gå till Kungl. Maj:t, men faktiskt är det så, att propositionen och utlåtandet upptaga en mängd undantag, så att riksdagen även i fortsättningen kommer att få behandla måhända lika många pensioner under denna gräns som Kungl. Maj:t får behandla. Därom ha vi i varje fall icke någon visshet.</w:t>
        <w:br/>
        <w:br/>
        <w:t xml:space="preserve">Sedan vill jag, herr talman, till slut säga, i anslutning till vad herr Bäcklund i sitt första anförande sade, att det är ingenting, som hindrar en riksdagsman att väcka en motion, och, såvitt jag läst grundlagen rätt, måste varje ärende, som kommer till riksdagen, undergå grundlagsenlig behandling. Att således utan vidare remittera ett ärende till Kungl. Maj:t såsom svar på en väckt motion lärer väl icke kunna ske, då det föreligger en motion. Låt oss här t. ex. tänka oss, att här finns en </w:t>
      </w:r>
      <w:r>
        <w:rPr>
          <w:b/>
        </w:rPr>
        <w:t>änka²</w:t>
      </w:r>
      <w:r>
        <w:rPr>
          <w:b w:val="0"/>
        </w:rPr>
        <w:t xml:space="preserve"> — låt oss säga en </w:t>
      </w:r>
      <w:r>
        <w:rPr>
          <w:b/>
        </w:rPr>
        <w:t>änka²</w:t>
      </w:r>
      <w:r>
        <w:rPr>
          <w:b w:val="0"/>
        </w:rPr>
        <w:t xml:space="preserve"> efter en telegrafarbetare — </w:t>
      </w:r>
      <w:r>
        <w:rPr>
          <w:b/>
        </w:rPr>
        <w:t>hon²</w:t>
      </w:r>
      <w:r>
        <w:rPr>
          <w:b w:val="0"/>
        </w:rPr>
        <w:t xml:space="preserve"> skulle såsom </w:t>
      </w:r>
      <w:r>
        <w:rPr>
          <w:b/>
        </w:rPr>
        <w:t>änka²</w:t>
      </w:r>
      <w:r>
        <w:rPr>
          <w:b w:val="0"/>
        </w:rPr>
        <w:t xml:space="preserve"> få en pension på ungefär 384 kronor, men så kanske det händer, att </w:t>
      </w:r>
      <w:r>
        <w:rPr>
          <w:b/>
        </w:rPr>
        <w:t>hon²</w:t>
      </w:r>
      <w:r>
        <w:rPr>
          <w:b w:val="0"/>
        </w:rPr>
        <w:t xml:space="preserve"> själv haft sysselsättning med något 1 statens tjänst, och då kan en motionär mycket väl taxera upp denna siffra på det sättet, att </w:t>
      </w:r>
      <w:r>
        <w:rPr>
          <w:b/>
        </w:rPr>
        <w:t>hon²</w:t>
      </w:r>
      <w:r>
        <w:rPr>
          <w:b w:val="0"/>
        </w:rPr>
        <w:t xml:space="preserve"> själv är berättigad att erhålla en ersättning från staten, som tillsammans med </w:t>
      </w:r>
      <w:r>
        <w:rPr>
          <w:b/>
        </w:rPr>
        <w:t>änkepensionen²</w:t>
      </w:r>
      <w:r>
        <w:rPr>
          <w:b w:val="0"/>
        </w:rPr>
        <w:t xml:space="preserve"> kan uppgå till 445 kronor. Då är det självfallet, att en sådan motion kommer att behandlas av riksdagen.</w:t>
        <w:br/>
        <w:br/>
        <w:t>Jag tror, herr talman, att det också är sakligt befogat från de synpunkter, jag framhöll, de rent humanitära, att riksdagen fortsätter att brottas med dessa ärenden, till dess att vi få bestämda pensionsregler, och icke utan vidare begraver dessa ärenden hos Kungl. Maj:t.</w:t>
        <w:br/>
        <w:br/>
        <w:t>Allra sist vill jag säga, att den tilltro till Kungl. Maj:t, som till exempel herr Edoff Andersson på Stockholmsbänken hade, förvånade mig i högsta</w:t>
        <w:br/>
        <w:br/>
        <w:t>grad, därför att ett överlämnande av dessa ärenden till Kungl. Maj:t uteslu- I fråga om ter ju varje möjlighet att tala inför öppen ridå för dessa människors sak så, ändrad ord-</w:t>
        <w:br/>
        <w:br/>
        <w:t>som man möjligen skulle önska. ge Herr talman! Jag yrkar bifall till avslagsyrkandet. vissa understödsärenden.</w:t>
      </w:r>
    </w:p>
    <w:p>
      <w:pPr>
        <w:pStyle w:val="Heading2"/>
      </w:pPr>
      <w:r>
        <w:t>2. Helge Bäcklund (Socialdemokraterna, man)</w:t>
      </w:r>
    </w:p>
    <w:p>
      <w:r>
        <w:rPr>
          <w:b w:val="0"/>
        </w:rPr>
        <w:t>Herr talman! Jag hade icke tänkt att ånyo begära or- (Forts)</w:t>
        <w:br/>
        <w:br/>
        <w:t>det, men jag blev provocerad därtill av herr Andersson i Falkenberg. Jag råkade säga, att jag hade ställt den frågan i utskottet, hur man skulle förfara, om det väcktes en motion, och jag sade, att den frågan fått stå obesvarad i utskottet. Detta vidhåller jag fortfarande, herr Andersson. Om han icke hörde upp i utskottet, kan man ju därav förstå, att han står på den linje, där han står, och tillhör utskottsmajoriteten. Det torde vara förklaringen på den saken. Jag skall i stället nu ställa en fråga till herr Andersson i Falkenberg. Han sade, att utskottet kan bättre pröva ett ärende, som väckes i en motion, om det först blivit prövat av Kungl. Maj:t. Ja, hur kommer det då att gå? Jo, i regel är det så, att det alltid finns några i utskottet, som försvara Kungl. Maj:t i vått och torrt, oberoende på vilken Kungl. Maj:t man har för tillfället. När Kungl. Maj:t intagit en viss ståndpunkt i saken, vilja de icke gå emot denna, även om det vore en viss rättvisa att göra det. På det sättet kommer denna utskottets prövning i många fall att bliva skäligen schematisk och icke leda till ett rättvist bedömande. Hur är det däremot nu med behandlingen av de motioner, som gå till bankoutskottet? Jo, är icke saken redan från början fullt klar enligt de principer, som riksdagen gått in för i avseende å dessa pensioner, så begär man hos Kungl. Maj:t att ärendet må remitteras till statskontoret för vederbörande myndighets hörande, och därefter, när statskontorets yttrande inkommer, avgör utskottet ärendet. Alltså äro ärendena sakligt prövade av vederbörande myndigheter, innan bankoutskottet fäller sitt omdöme om dem. Det borde väl i alla fall vara precis samma sak som om en tjänsteman i departementet har suttit och behandlat ärendet. Jag kan icke finna, att det blir någon skillnad. Nu frågar jag emellertid herr Andersson i Falkenberg, hur man skall förfara med en motion, som icke är prövad av Kungl. Maj:t, om nu detta utskottsförslag skulle gå igenom. Den frågan är icke alls klar. Det går icke att utan vidare avvisa motionen med hänvisning till att så och så har riksdagen beslutat. Har en motion väckts, måste den i alla fall prövas, och man måste antingen hemställa om en skrivelse till Kungl. Maj:t eller omavslag. Riksdagen måste fatta något beslut, och då har man ju icke kommit ifrån att behandla ärendet här.</w:t>
        <w:br/>
        <w:br/>
        <w:t xml:space="preserve">Jag vill också passa på tillfället att säga ett par ord till herr Winkler. Herr Winkler framställde mig som en stor motionär och därför skulle man icke alls bry sig om att höra på vad jag sade. Saken är emellertid den, herr Winkler, att om han tar reda på handlingarna i utskottet, så skall han finna, att jag 1 år endast motionerat om pension för en </w:t>
      </w:r>
      <w:r>
        <w:rPr>
          <w:b/>
        </w:rPr>
        <w:t>änka²</w:t>
      </w:r>
      <w:r>
        <w:rPr>
          <w:b w:val="0"/>
        </w:rPr>
        <w:t>, som är ungefär 70 år gammal. Det är allt varmed jag försyndat mig i detta fall. Jag tycker icke, att det är så farligt, att man behöver göra mig till en större motionär just i dessa frågor.</w:t>
        <w:br/>
        <w:br/>
        <w:t>Sedan vill jag säga, att regeringen behandlar icke ärendena bättre utan i många fall sämre, påstår jag, än vad utskottet och riksdagen göra. Vi få ju ofta korrigera regeringens beslut, oavsett vilken regering det är som sitter, och det har herr Winkler också varit med om att göra. Det visar ju, att trots det att ärenden gått igenom Kungl. Maj:ts behandling och framlagts i proposition, så är det icke alltid sagt, att vi bifalla Kungl. Maj:ts förslag oförändrat. Det visar ju, att man också på det hållet handlar litet olika och icke alltid tänker på konsekvenserna.</w:t>
        <w:br/>
        <w:br/>
        <w:t xml:space="preserve">Jag vill också säga ett par ord till herr finansministern. Han sade, att det går ju för sig att skjuta över ett ärende från ett år till ett annat, om regeringens förslag blir bifallet. Ja, det är klart, att det går att skjuta över ärendena från det ena året till det andra, om man har ett fast anslag och det icke räcker till, men vad kan inträffa under tiden? Jo, den </w:t>
      </w:r>
      <w:r>
        <w:rPr>
          <w:b/>
        </w:rPr>
        <w:t>änka²</w:t>
      </w:r>
      <w:r>
        <w:rPr>
          <w:b w:val="0"/>
        </w:rPr>
        <w:t xml:space="preserve"> eller barn, som det är fråga om och som icke fått pension, därför att pengarna icke räckt till, kan ju vara i sådan ställning, att fattigvården måste ingripa. Nu finns det ju emellertid en fattigvårdsklausul om att den som fått fattigvård icke kan ifrågakomma till statspension. Jag menar alltså, att det finns många hakar här, som göra, att man verkligen bör se upp, innan man tar ställning till saken.</w:t>
        <w:br/>
        <w:br/>
        <w:t>Man har nu här från olika utgångspunkter gått in för avslagsyrkandet. Vilka uppfattningar man än har för att komma fram till ett avslag, så anser jag det vara riktigast att andra kammaren i denna situation avslår utskottets hemställan.</w:t>
        <w:br/>
        <w:br/>
        <w:t>Jag vidhåller alltså, herr talman, mitt förra yrkande.</w:t>
      </w:r>
    </w:p>
    <w:p>
      <w:pPr>
        <w:pStyle w:val="Heading2"/>
      </w:pPr>
      <w:r>
        <w:t>3. Edoff Andersson (Kilbomspartiet, man)</w:t>
      </w:r>
    </w:p>
    <w:p>
      <w:r>
        <w:rPr>
          <w:b w:val="0"/>
        </w:rPr>
        <w:t xml:space="preserve">Herr talman! Jag har förflyttat mig till talarstolen närmast därför att det härifrån bör bliva sagt, att den motivering. som herr Olsson i Kullenbergstorp framförde för ett avslag, ej kan följas i längden. Då herr Olsson i Kullenbergstorp sade, att man måste bestämma högst det och det beloppet, så skulle det ju komma att innebära, att om Kungl. Maj:t fått 30,000 kronor att dela ut i </w:t>
      </w:r>
      <w:r>
        <w:rPr>
          <w:b/>
        </w:rPr>
        <w:t>änkepensioner²</w:t>
      </w:r>
      <w:r>
        <w:rPr>
          <w:b w:val="0"/>
        </w:rPr>
        <w:t xml:space="preserve"> och detta belopp har gått åt, och det sedan kommer låt mig säga ett tiotal änkor, som behöva pension och, som det visar sig, behöva den bäst av alla, så skulle de i alla fall icke kunna få någon pension, därför att Kungl. Maj:t förbrukat den anslagna summan. Det kan ju icke vara någon mening i att tala om att humanitära synpunkter skola läggas till grund vid beviljandet av dessa pensionsbelopp, om man samtidigt fastställer sådana bestämmelser. Det lär väl vara möjligt att göra sig en föreställning om vad som kan behövas i fråga om medel på detta område, och att efter detta beräkna anslaget, men man bör naturligtvis fastställa sådana bestämmelser, att det i alla fall blir möjligt för Kungl. Maj:t att tilldela pension åt de änkor, som äro i behov därav och på grund av riksdagens beslut anses berättigade att erhålla sådan. Jag håller allt fortfarande fast vid avslagsyrkandet, men jag vill understryka, att jag icke gör det av de skäl, som herr Olsson i Kullenbergstorp här har angivit. Jag har velat ha sagt ifrån detta, så att det åtminstone av protokollet skall framgå, att det finnes de, som gå på avslagslinjen i denna fråga av helt andra motiv än dem, som anförts av herr Olsson i Kullenbergstorp.</w:t>
        <w:br/>
        <w:br/>
        <w:t xml:space="preserve">Herr Törnkvist i Karlskrona sade, att jag hyste ett förfärligt stort förtroende för Kungl. Maj:t. Jag vet nu inte vem som har det största förtroendet för Kungl. Maj:t, herr Törnkvist eller jag. Det skulle kanske en granskning av riksdagens protokoll kunna ge besked om. När jag går på den linjen, att det måste betraktas såsom lämpligt att dessa frågors behandling överlämnas åt Kungl. Maj:t, är det icke därför att jag skulle hysa något särskilt stort förtroende för Kungl. Maj:ts behandling av dessa frågor, utan därför att jag håller före, att det blir en grundligare behandling på det sättet, därför att den, som har avgörandet i sin hand, också är i tillfälle att sätta sig in i frågorna och måste bemöda sig om att sätta sig in i vad det är fråga om i varje särskilt fall. Jag tillåter mig allt fortfarande att hävda den uppfattningen, att det icke är så många av kammarens ledamöter, som ha möjlighet att bilda sig en på sakliga grunder bestämd uppfattning om huruvida en </w:t>
      </w:r>
      <w:r>
        <w:rPr>
          <w:b/>
        </w:rPr>
        <w:t>änka²</w:t>
      </w:r>
      <w:r>
        <w:rPr>
          <w:b w:val="0"/>
        </w:rPr>
        <w:t xml:space="preserve"> i Karlskrona eller någon annanstans är i behov av pension på de skäl, som angivits.</w:t>
        <w:br/>
        <w:br/>
        <w:t xml:space="preserve">Det blir icke heller med utgångspunkt därifrån, som besluten fattas, utan det beror på om denna </w:t>
      </w:r>
      <w:r>
        <w:rPr>
          <w:b/>
        </w:rPr>
        <w:t>änka²</w:t>
      </w:r>
      <w:r>
        <w:rPr>
          <w:b w:val="0"/>
        </w:rPr>
        <w:t xml:space="preserve"> lyckats få någon, som kammaren betraktar som auktoritativ, som motionerar och talar för pensionen. Då kan </w:t>
      </w:r>
      <w:r>
        <w:rPr>
          <w:b/>
        </w:rPr>
        <w:t>hon²</w:t>
      </w:r>
      <w:r>
        <w:rPr>
          <w:b w:val="0"/>
        </w:rPr>
        <w:t xml:space="preserve"> få den, även om man kan diskutera, huruvida </w:t>
      </w:r>
      <w:r>
        <w:rPr>
          <w:b/>
        </w:rPr>
        <w:t>hon²</w:t>
      </w:r>
      <w:r>
        <w:rPr>
          <w:b w:val="0"/>
        </w:rPr>
        <w:t xml:space="preserve"> är i behov av den eller icke. Lyckas däremot en </w:t>
      </w:r>
      <w:r>
        <w:rPr>
          <w:b/>
        </w:rPr>
        <w:t>änka²</w:t>
      </w:r>
      <w:r>
        <w:rPr>
          <w:b w:val="0"/>
        </w:rPr>
        <w:t xml:space="preserve"> icke få tag i någon sådan, som tar hand om saken, finns det icke så värst stora förutsättningar för </w:t>
      </w:r>
      <w:r>
        <w:rPr>
          <w:b/>
        </w:rPr>
        <w:t>henne²</w:t>
      </w:r>
      <w:r>
        <w:rPr>
          <w:b w:val="0"/>
        </w:rPr>
        <w:t xml:space="preserve"> att få pension.</w:t>
        <w:br/>
        <w:br/>
        <w:t>Man har här försökt slå vakt om riksdagens beslutanderätt i dessa frågor och sagt, att man skall icke förhindra de enskilda riksdagsmännen att motionera. Jag vill erinra om att jag i fjol motionerade i en pensionsfråga, och då uttryckte bankoutskottet enhälligt den uppfattningen, att det var underligt, att man icke ordnat det så, att Kungl. Maj:t kommit med förslag i ärendet, och detta betraktades till och med i första omgången som skäl för avslag. Man kan ju därav se, att det är icke alltid, som man hävdar de enskilda riksdagsmännens rätt att föra fram förslag och godkänner deras anspråk på att få dessa förslag behandlade uteslutande från sakliga synpunkter.</w:t>
        <w:br/>
        <w:br/>
        <w:t>Jag har velat säga detta om de skäl, som jag har för den ståndpunkt, som jag intar i denna fråga. Jag håller sålunda före, att frågan åter bör upptagas till behandling men att man för tillfället bör gå på avslagslinjen, fastän icke av de skäl, som herr Olsson i Kullenbergstorp har angivit.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